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2563EB"/>
          <w:sz w:val="20"/>
        </w:rPr>
        <w:t>DATASCOPE BUSINESS INTELLIGENCE &amp; DECISION SUPPORT</w:t>
        <w:br/>
      </w:r>
      <w:r>
        <w:rPr>
          <w:b/>
          <w:color w:val="0F172A"/>
          <w:sz w:val="40"/>
        </w:rPr>
        <w:t>Business Performance Report: superstore_sales.csv</w:t>
      </w:r>
    </w:p>
    <w:p>
      <w:pPr>
        <w:spacing w:after="280"/>
      </w:pPr>
      <w:r>
        <w:rPr>
          <w:i/>
          <w:color w:val="475569"/>
          <w:sz w:val="19"/>
        </w:rPr>
        <w:t>Domain: General Business Analytics   |   Reporting Period: 01 Jan 2024 to 29 Apr 2024   |   Business Condition: Needs Attention</w:t>
      </w:r>
    </w:p>
    <w:p>
      <w:pPr>
        <w:pStyle w:val="Heading1"/>
        <w:spacing w:before="240" w:after="120"/>
      </w:pPr>
      <w:r>
        <w:t>1. Executive Business Summary</w:t>
      </w:r>
    </w:p>
    <w:tbl>
      <w:tblPr>
        <w:tblW w:type="auto" w:w="0"/>
        <w:jc w:val="center"/>
        <w:tblLook w:firstColumn="1" w:firstRow="1" w:lastColumn="0" w:lastRow="0" w:noHBand="0" w:noVBand="1" w:val="04A0"/>
      </w:tblPr>
      <w:tblGrid>
        <w:gridCol w:w="2484"/>
        <w:gridCol w:w="2484"/>
        <w:gridCol w:w="2484"/>
        <w:gridCol w:w="2484"/>
      </w:tblGrid>
      <w:tr>
        <w:tc>
          <w:tcPr>
            <w:tcW w:type="dxa" w:w="2484"/>
            <w:shd w:fill="F1F5F9"/>
            <w:tcMar>
              <w:top w:w="100" w:type="dxa"/>
              <w:bottom w:w="100" w:type="dxa"/>
              <w:left w:w="100" w:type="dxa"/>
              <w:right w:w="100" w:type="dxa"/>
            </w:tcMar>
          </w:tcPr>
          <w:p>
            <w:pPr>
              <w:jc w:val="center"/>
            </w:pPr>
            <w:r>
              <w:rPr>
                <w:color w:val="64748B"/>
                <w:sz w:val="16"/>
              </w:rPr>
              <w:t>Total Revenue</w:t>
              <w:br/>
            </w:r>
            <w:r>
              <w:rPr>
                <w:b/>
                <w:color w:val="0F172A"/>
                <w:sz w:val="24"/>
              </w:rPr>
              <w:t>₹56.40K</w:t>
            </w:r>
          </w:p>
        </w:tc>
        <w:tc>
          <w:tcPr>
            <w:tcW w:type="dxa" w:w="2484"/>
            <w:shd w:fill="F1F5F9"/>
            <w:tcMar>
              <w:top w:w="100" w:type="dxa"/>
              <w:bottom w:w="100" w:type="dxa"/>
              <w:left w:w="100" w:type="dxa"/>
              <w:right w:w="100" w:type="dxa"/>
            </w:tcMar>
          </w:tcPr>
          <w:p>
            <w:pPr>
              <w:jc w:val="center"/>
            </w:pPr>
            <w:r>
              <w:rPr>
                <w:color w:val="64748B"/>
                <w:sz w:val="16"/>
              </w:rPr>
              <w:t>Net Profit</w:t>
              <w:br/>
            </w:r>
            <w:r>
              <w:rPr>
                <w:b/>
                <w:color w:val="0F172A"/>
                <w:sz w:val="24"/>
              </w:rPr>
              <w:t>₹9.60K</w:t>
            </w:r>
          </w:p>
        </w:tc>
        <w:tc>
          <w:tcPr>
            <w:tcW w:type="dxa" w:w="2484"/>
            <w:shd w:fill="F1F5F9"/>
            <w:tcMar>
              <w:top w:w="100" w:type="dxa"/>
              <w:bottom w:w="100" w:type="dxa"/>
              <w:left w:w="100" w:type="dxa"/>
              <w:right w:w="100" w:type="dxa"/>
            </w:tcMar>
          </w:tcPr>
          <w:p>
            <w:pPr>
              <w:jc w:val="center"/>
            </w:pPr>
            <w:r>
              <w:rPr>
                <w:color w:val="64748B"/>
                <w:sz w:val="16"/>
              </w:rPr>
              <w:t>Profit Margin</w:t>
              <w:br/>
            </w:r>
            <w:r>
              <w:rPr>
                <w:b/>
                <w:color w:val="0F172A"/>
                <w:sz w:val="24"/>
              </w:rPr>
              <w:t>17.0%</w:t>
            </w:r>
          </w:p>
        </w:tc>
        <w:tc>
          <w:tcPr>
            <w:tcW w:type="dxa" w:w="2484"/>
            <w:shd w:fill="F1F5F9"/>
            <w:tcMar>
              <w:top w:w="100" w:type="dxa"/>
              <w:bottom w:w="100" w:type="dxa"/>
              <w:left w:w="100" w:type="dxa"/>
              <w:right w:w="100" w:type="dxa"/>
            </w:tcMar>
          </w:tcPr>
          <w:p>
            <w:pPr>
              <w:jc w:val="center"/>
            </w:pPr>
            <w:r>
              <w:rPr>
                <w:color w:val="64748B"/>
                <w:sz w:val="16"/>
              </w:rPr>
              <w:t>Total Orders</w:t>
              <w:br/>
            </w:r>
            <w:r>
              <w:rPr>
                <w:b/>
                <w:color w:val="0F172A"/>
                <w:sz w:val="24"/>
              </w:rPr>
              <w:t>120</w:t>
            </w:r>
          </w:p>
        </w:tc>
      </w:tr>
      <w:tr>
        <w:tc>
          <w:tcPr>
            <w:tcW w:type="dxa" w:w="2484"/>
            <w:shd w:fill="F1F5F9"/>
            <w:tcMar>
              <w:top w:w="100" w:type="dxa"/>
              <w:bottom w:w="100" w:type="dxa"/>
              <w:left w:w="100" w:type="dxa"/>
              <w:right w:w="100" w:type="dxa"/>
            </w:tcMar>
          </w:tcPr>
          <w:p>
            <w:pPr>
              <w:jc w:val="center"/>
            </w:pPr>
            <w:r>
              <w:rPr>
                <w:color w:val="64748B"/>
                <w:sz w:val="16"/>
              </w:rPr>
              <w:t>Avg Order Value</w:t>
              <w:br/>
            </w:r>
            <w:r>
              <w:rPr>
                <w:b/>
                <w:color w:val="0F172A"/>
                <w:sz w:val="24"/>
              </w:rPr>
              <w:t>₹470.00</w:t>
            </w:r>
          </w:p>
        </w:tc>
        <w:tc>
          <w:tcPr>
            <w:tcW w:type="dxa" w:w="2484"/>
            <w:shd w:fill="F1F5F9"/>
            <w:tcMar>
              <w:top w:w="100" w:type="dxa"/>
              <w:bottom w:w="100" w:type="dxa"/>
              <w:left w:w="100" w:type="dxa"/>
              <w:right w:w="100" w:type="dxa"/>
            </w:tcMar>
          </w:tcPr>
          <w:p>
            <w:pPr>
              <w:jc w:val="center"/>
            </w:pPr>
            <w:r>
              <w:rPr>
                <w:color w:val="64748B"/>
                <w:sz w:val="16"/>
              </w:rPr>
              <w:t>Units Sold</w:t>
              <w:br/>
            </w:r>
            <w:r>
              <w:rPr>
                <w:b/>
                <w:color w:val="0F172A"/>
                <w:sz w:val="24"/>
              </w:rPr>
              <w:t>330</w:t>
            </w:r>
          </w:p>
        </w:tc>
        <w:tc>
          <w:tcPr>
            <w:tcW w:type="dxa" w:w="2484"/>
            <w:shd w:fill="F1F5F9"/>
            <w:tcMar>
              <w:top w:w="100" w:type="dxa"/>
              <w:bottom w:w="100" w:type="dxa"/>
              <w:left w:w="100" w:type="dxa"/>
              <w:right w:w="100" w:type="dxa"/>
            </w:tcMar>
          </w:tcPr>
          <w:p>
            <w:pPr>
              <w:jc w:val="center"/>
            </w:pPr>
            <w:r>
              <w:rPr>
                <w:color w:val="64748B"/>
                <w:sz w:val="16"/>
              </w:rPr>
              <w:t>Avg Discount</w:t>
              <w:br/>
            </w:r>
            <w:r>
              <w:rPr>
                <w:b/>
                <w:color w:val="0F172A"/>
                <w:sz w:val="24"/>
              </w:rPr>
              <w:t>10.0%</w:t>
            </w:r>
          </w:p>
        </w:tc>
        <w:tc>
          <w:tcPr>
            <w:tcW w:type="dxa" w:w="2484"/>
            <w:shd w:fill="F1F5F9"/>
            <w:tcMar>
              <w:top w:w="100" w:type="dxa"/>
              <w:bottom w:w="100" w:type="dxa"/>
              <w:left w:w="100" w:type="dxa"/>
              <w:right w:w="100" w:type="dxa"/>
            </w:tcMar>
          </w:tcPr>
          <w:p>
            <w:pPr>
              <w:jc w:val="center"/>
            </w:pPr>
            <w:r>
              <w:rPr>
                <w:color w:val="64748B"/>
                <w:sz w:val="16"/>
              </w:rPr>
              <w:t>Business Health</w:t>
              <w:br/>
            </w:r>
            <w:r>
              <w:rPr>
                <w:b/>
                <w:color w:val="0F172A"/>
                <w:sz w:val="24"/>
              </w:rPr>
              <w:t>Attention Required</w:t>
            </w:r>
          </w:p>
        </w:tc>
      </w:tr>
    </w:tbl>
    <w:tbl>
      <w:tblPr>
        <w:tblW w:type="auto" w:w="0"/>
        <w:jc w:val="center"/>
        <w:tblLook w:firstColumn="1" w:firstRow="1" w:lastColumn="0" w:lastRow="0" w:noHBand="0" w:noVBand="1" w:val="04A0"/>
      </w:tblPr>
      <w:tblGrid>
        <w:gridCol w:w="9936"/>
      </w:tblGrid>
      <w:tr>
        <w:tc>
          <w:tcPr>
            <w:tcW w:type="dxa" w:w="9936"/>
            <w:shd w:fill="EFF6FF"/>
            <w:tcMar>
              <w:top w:w="120" w:type="dxa"/>
              <w:bottom w:w="120" w:type="dxa"/>
              <w:left w:w="140" w:type="dxa"/>
              <w:right w:w="140" w:type="dxa"/>
            </w:tcMar>
          </w:tcPr>
          <w:p>
            <w:r>
              <w:rPr>
                <w:b/>
                <w:color w:val="1E40AF"/>
                <w:sz w:val="20"/>
              </w:rPr>
              <w:t>Executive Business Briefing:</w:t>
              <w:br/>
            </w:r>
            <w:r>
              <w:rPr>
                <w:color w:val="1E293B"/>
                <w:sz w:val="19"/>
              </w:rPr>
              <w:t>During the analyzed period, the business generated ₹56.40K in revenue and ₹9.60K in net profit, resulting in an overall profit margin of 17.0%. The analysis indicates that profitability is being affected by negative margins in 'Chairs'. The most important management priority is Review supplier purchase costs and reduce discount depth on 'Furniture' by 3–5% to restore healthy margins., assigned to Pricing &amp; Finance.</w:t>
            </w:r>
          </w:p>
        </w:tc>
      </w:tr>
    </w:tbl>
    <w:p>
      <w:pPr>
        <w:spacing w:before="160" w:after="40"/>
      </w:pPr>
      <w:r>
        <w:rPr>
          <w:b/>
          <w:sz w:val="20"/>
        </w:rPr>
        <w:t>Core Performance Observations:</w:t>
      </w:r>
    </w:p>
    <w:p>
      <w:pPr>
        <w:pStyle w:val="ListBullet"/>
        <w:spacing w:after="40"/>
      </w:pPr>
      <w:r>
        <w:rPr>
          <w:color w:val="059669"/>
          <w:sz w:val="18"/>
        </w:rPr>
        <w:t>[POSITIVE] Generated ₹56.40K in total commercial sales revenue.</w:t>
      </w:r>
    </w:p>
    <w:p>
      <w:pPr>
        <w:pStyle w:val="ListBullet"/>
        <w:spacing w:after="40"/>
      </w:pPr>
      <w:r>
        <w:rPr>
          <w:color w:val="059669"/>
          <w:sz w:val="18"/>
        </w:rPr>
        <w:t>[POSITIVE] Top Sub Category 'Laptops' contributed ₹18.00K (31.9% of total sales).</w:t>
      </w:r>
    </w:p>
    <w:p>
      <w:pPr>
        <w:pStyle w:val="ListBullet"/>
        <w:spacing w:after="40"/>
      </w:pPr>
      <w:r>
        <w:rPr>
          <w:color w:val="059669"/>
          <w:sz w:val="18"/>
        </w:rPr>
        <w:t>[POSITIVE] Achieved positive net profitability of ₹9.60K (17.0% margin).</w:t>
      </w:r>
    </w:p>
    <w:p>
      <w:pPr>
        <w:pStyle w:val="ListBullet"/>
        <w:spacing w:after="40"/>
      </w:pPr>
      <w:r>
        <w:rPr>
          <w:color w:val="DC2626"/>
          <w:sz w:val="18"/>
        </w:rPr>
        <w:t>[ATTENTION] Uncovered 2 loss-making segment(s) causing direct profit leakage (e.g., 'Chairs').</w:t>
      </w:r>
    </w:p>
    <w:p>
      <w:pPr>
        <w:spacing w:before="120" w:after="40"/>
      </w:pPr>
      <w:r>
        <w:rPr>
          <w:b/>
          <w:sz w:val="20"/>
        </w:rPr>
        <w:t>Top Priority Management Actions:</w:t>
      </w:r>
    </w:p>
    <w:p>
      <w:pPr>
        <w:pStyle w:val="ListBullet"/>
        <w:spacing w:after="40"/>
      </w:pPr>
      <w:r>
        <w:rPr>
          <w:sz w:val="18"/>
        </w:rPr>
        <w:t>[Critical] Review supplier purchase costs and reduce discount depth on 'Furniture' by 3–5% to restore healthy margins. — Owner: Pricing &amp; Finance (Timeframe: Immediate (7-14 Days))</w:t>
      </w:r>
    </w:p>
    <w:p>
      <w:pPr>
        <w:pStyle w:val="ListBullet"/>
        <w:spacing w:after="40"/>
      </w:pPr>
      <w:r>
        <w:rPr>
          <w:sz w:val="18"/>
        </w:rPr>
        <w:t>[Medium] Check inventory availability and marketing campaign pacing for 'Technology' to prevent post-peak sales slowdowns. — Owner: Sales Leadership (Timeframe: 30 Days)</w:t>
      </w:r>
    </w:p>
    <w:p>
      <w:pPr>
        <w:pStyle w:val="ListBullet"/>
        <w:spacing w:after="40"/>
      </w:pPr>
      <w:r>
        <w:rPr>
          <w:sz w:val="18"/>
        </w:rPr>
        <w:t>[Medium] Apply effective methods from 'Technology' to operations in 'Apparel'. — Owner: Executive Management (Timeframe: 30 Days)</w:t>
      </w:r>
    </w:p>
    <w:p>
      <w:pPr>
        <w:pStyle w:val="Heading1"/>
        <w:spacing w:before="280" w:after="80"/>
      </w:pPr>
      <w:r>
        <w:t>2. Business Performance Overview</w:t>
      </w:r>
    </w:p>
    <w:p>
      <w:r>
        <w:rPr>
          <w:sz w:val="19"/>
        </w:rPr>
        <w:t>Sub Category 'Laptops' leads commercial performance, generating ₹18.00K (31.9% of total revenue).</w:t>
      </w:r>
    </w:p>
    <w:p>
      <w:pPr>
        <w:pStyle w:val="Heading2"/>
      </w:pPr>
      <w:r>
        <w:t>Key Operational Performance Indicators</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Mar>
              <w:top w:w="140" w:type="dxa"/>
              <w:bottom w:w="140" w:type="dxa"/>
              <w:left w:w="140" w:type="dxa"/>
              <w:right w:w="140" w:type="dxa"/>
            </w:tcMar>
          </w:tcPr>
          <w:p>
            <w:pPr>
              <w:jc w:val="left"/>
            </w:pPr>
            <w:r>
              <w:rPr>
                <w:rFonts w:ascii="Calibri" w:hAnsi="Calibri"/>
                <w:b/>
                <w:color w:val="FFFFFF"/>
                <w:sz w:val="19"/>
              </w:rPr>
              <w:t>Metric Name</w:t>
            </w:r>
          </w:p>
        </w:tc>
        <w:tc>
          <w:tcPr>
            <w:tcW w:type="dxa" w:w="2484"/>
            <w:shd w:fill="1E293B"/>
            <w:tcMar>
              <w:top w:w="140" w:type="dxa"/>
              <w:bottom w:w="140" w:type="dxa"/>
              <w:left w:w="140" w:type="dxa"/>
              <w:right w:w="140" w:type="dxa"/>
            </w:tcMar>
          </w:tcPr>
          <w:p>
            <w:pPr>
              <w:jc w:val="left"/>
            </w:pPr>
            <w:r>
              <w:rPr>
                <w:rFonts w:ascii="Calibri" w:hAnsi="Calibri"/>
                <w:b/>
                <w:color w:val="FFFFFF"/>
                <w:sz w:val="19"/>
              </w:rPr>
              <w:t>Observed Value</w:t>
            </w:r>
          </w:p>
        </w:tc>
        <w:tc>
          <w:tcPr>
            <w:tcW w:type="dxa" w:w="2484"/>
            <w:shd w:fill="1E293B"/>
            <w:tcMar>
              <w:top w:w="140" w:type="dxa"/>
              <w:bottom w:w="140" w:type="dxa"/>
              <w:left w:w="140" w:type="dxa"/>
              <w:right w:w="140" w:type="dxa"/>
            </w:tcMar>
          </w:tcPr>
          <w:p>
            <w:pPr>
              <w:jc w:val="left"/>
            </w:pPr>
            <w:r>
              <w:rPr>
                <w:rFonts w:ascii="Calibri" w:hAnsi="Calibri"/>
                <w:b/>
                <w:color w:val="FFFFFF"/>
                <w:sz w:val="19"/>
              </w:rPr>
              <w:t>Business Meaning</w:t>
            </w:r>
          </w:p>
        </w:tc>
        <w:tc>
          <w:tcPr>
            <w:tcW w:type="dxa" w:w="2484"/>
            <w:shd w:fill="1E293B"/>
            <w:tcMar>
              <w:top w:w="140" w:type="dxa"/>
              <w:bottom w:w="140" w:type="dxa"/>
              <w:left w:w="140" w:type="dxa"/>
              <w:right w:w="140" w:type="dxa"/>
            </w:tcMar>
          </w:tcPr>
          <w:p>
            <w:pPr>
              <w:jc w:val="left"/>
            </w:pPr>
            <w:r>
              <w:rPr>
                <w:rFonts w:ascii="Calibri" w:hAnsi="Calibri"/>
                <w:b/>
                <w:color w:val="FFFFFF"/>
                <w:sz w:val="19"/>
              </w:rPr>
              <w:t>Attention Required</w:t>
            </w:r>
          </w:p>
        </w:tc>
      </w:tr>
      <w:tr>
        <w:tc>
          <w:tcPr>
            <w:tcW w:type="dxa" w:w="2484"/>
            <w:shd w:fill="F8FAFC"/>
            <w:tcMar>
              <w:top w:w="100" w:type="dxa"/>
              <w:bottom w:w="100" w:type="dxa"/>
              <w:left w:w="120" w:type="dxa"/>
              <w:right w:w="120" w:type="dxa"/>
            </w:tcMar>
          </w:tcPr>
          <w:p>
            <w:r>
              <w:rPr>
                <w:rFonts w:ascii="Calibri" w:hAnsi="Calibri"/>
                <w:sz w:val="18"/>
              </w:rPr>
              <w:t>Total Gross Revenue</w:t>
            </w:r>
          </w:p>
        </w:tc>
        <w:tc>
          <w:tcPr>
            <w:tcW w:type="dxa" w:w="2484"/>
            <w:shd w:fill="F8FAFC"/>
            <w:tcMar>
              <w:top w:w="100" w:type="dxa"/>
              <w:bottom w:w="100" w:type="dxa"/>
              <w:left w:w="120" w:type="dxa"/>
              <w:right w:w="120" w:type="dxa"/>
            </w:tcMar>
          </w:tcPr>
          <w:p>
            <w:r>
              <w:rPr>
                <w:rFonts w:ascii="Calibri" w:hAnsi="Calibri"/>
                <w:sz w:val="18"/>
              </w:rPr>
              <w:t>₹56.40K</w:t>
            </w:r>
          </w:p>
        </w:tc>
        <w:tc>
          <w:tcPr>
            <w:tcW w:type="dxa" w:w="2484"/>
            <w:shd w:fill="F8FAFC"/>
            <w:tcMar>
              <w:top w:w="100" w:type="dxa"/>
              <w:bottom w:w="100" w:type="dxa"/>
              <w:left w:w="120" w:type="dxa"/>
              <w:right w:w="120" w:type="dxa"/>
            </w:tcMar>
          </w:tcPr>
          <w:p>
            <w:r>
              <w:rPr>
                <w:rFonts w:ascii="Calibri" w:hAnsi="Calibri"/>
                <w:sz w:val="18"/>
              </w:rPr>
              <w:t>Aggregate commercial top-line turnover generated across all completed transactions.</w:t>
            </w:r>
          </w:p>
        </w:tc>
        <w:tc>
          <w:tcPr>
            <w:tcW w:type="dxa" w:w="2484"/>
            <w:shd w:fill="F8FAFC"/>
            <w:tcMar>
              <w:top w:w="100" w:type="dxa"/>
              <w:bottom w:w="100" w:type="dxa"/>
              <w:left w:w="120" w:type="dxa"/>
              <w:right w:w="120" w:type="dxa"/>
            </w:tcMar>
          </w:tcPr>
          <w:p>
            <w:r>
              <w:rPr>
                <w:rFonts w:ascii="Calibri" w:hAnsi="Calibri"/>
                <w:sz w:val="18"/>
              </w:rPr>
              <w:t>Normal</w:t>
            </w:r>
          </w:p>
        </w:tc>
      </w:tr>
      <w:tr>
        <w:tc>
          <w:tcPr>
            <w:tcW w:type="dxa" w:w="2484"/>
            <w:shd w:fill="FFFFFF"/>
            <w:tcMar>
              <w:top w:w="100" w:type="dxa"/>
              <w:bottom w:w="100" w:type="dxa"/>
              <w:left w:w="120" w:type="dxa"/>
              <w:right w:w="120" w:type="dxa"/>
            </w:tcMar>
          </w:tcPr>
          <w:p>
            <w:r>
              <w:rPr>
                <w:rFonts w:ascii="Calibri" w:hAnsi="Calibri"/>
                <w:sz w:val="18"/>
              </w:rPr>
              <w:t>Net Profit / Return</w:t>
            </w:r>
          </w:p>
        </w:tc>
        <w:tc>
          <w:tcPr>
            <w:tcW w:type="dxa" w:w="2484"/>
            <w:shd w:fill="FFFFFF"/>
            <w:tcMar>
              <w:top w:w="100" w:type="dxa"/>
              <w:bottom w:w="100" w:type="dxa"/>
              <w:left w:w="120" w:type="dxa"/>
              <w:right w:w="120" w:type="dxa"/>
            </w:tcMar>
          </w:tcPr>
          <w:p>
            <w:r>
              <w:rPr>
                <w:rFonts w:ascii="Calibri" w:hAnsi="Calibri"/>
                <w:sz w:val="18"/>
              </w:rPr>
              <w:t>₹9.60K</w:t>
            </w:r>
          </w:p>
        </w:tc>
        <w:tc>
          <w:tcPr>
            <w:tcW w:type="dxa" w:w="2484"/>
            <w:shd w:fill="FFFFFF"/>
            <w:tcMar>
              <w:top w:w="100" w:type="dxa"/>
              <w:bottom w:w="100" w:type="dxa"/>
              <w:left w:w="120" w:type="dxa"/>
              <w:right w:w="120" w:type="dxa"/>
            </w:tcMar>
          </w:tcPr>
          <w:p>
            <w:r>
              <w:rPr>
                <w:rFonts w:ascii="Calibri" w:hAnsi="Calibri"/>
                <w:sz w:val="18"/>
              </w:rPr>
              <w:t>Residual commercial earnings after deducting all product costs and promotional markdowns.</w:t>
            </w:r>
          </w:p>
        </w:tc>
        <w:tc>
          <w:tcPr>
            <w:tcW w:type="dxa" w:w="2484"/>
            <w:shd w:fill="FFFFFF"/>
            <w:tcMar>
              <w:top w:w="100" w:type="dxa"/>
              <w:bottom w:w="100" w:type="dxa"/>
              <w:left w:w="120" w:type="dxa"/>
              <w:right w:w="120" w:type="dxa"/>
            </w:tcMar>
          </w:tcPr>
          <w:p>
            <w:r>
              <w:rPr>
                <w:rFonts w:ascii="Calibri" w:hAnsi="Calibri"/>
                <w:sz w:val="18"/>
              </w:rPr>
              <w:t>Normal</w:t>
            </w:r>
          </w:p>
        </w:tc>
      </w:tr>
      <w:tr>
        <w:tc>
          <w:tcPr>
            <w:tcW w:type="dxa" w:w="2484"/>
            <w:shd w:fill="F8FAFC"/>
            <w:tcMar>
              <w:top w:w="100" w:type="dxa"/>
              <w:bottom w:w="100" w:type="dxa"/>
              <w:left w:w="120" w:type="dxa"/>
              <w:right w:w="120" w:type="dxa"/>
            </w:tcMar>
          </w:tcPr>
          <w:p>
            <w:r>
              <w:rPr>
                <w:rFonts w:ascii="Calibri" w:hAnsi="Calibri"/>
                <w:sz w:val="18"/>
              </w:rPr>
              <w:t>Net Profit Margin</w:t>
            </w:r>
          </w:p>
        </w:tc>
        <w:tc>
          <w:tcPr>
            <w:tcW w:type="dxa" w:w="2484"/>
            <w:shd w:fill="F8FAFC"/>
            <w:tcMar>
              <w:top w:w="100" w:type="dxa"/>
              <w:bottom w:w="100" w:type="dxa"/>
              <w:left w:w="120" w:type="dxa"/>
              <w:right w:w="120" w:type="dxa"/>
            </w:tcMar>
          </w:tcPr>
          <w:p>
            <w:r>
              <w:rPr>
                <w:rFonts w:ascii="Calibri" w:hAnsi="Calibri"/>
                <w:sz w:val="18"/>
              </w:rPr>
              <w:t>17.0%</w:t>
            </w:r>
          </w:p>
        </w:tc>
        <w:tc>
          <w:tcPr>
            <w:tcW w:type="dxa" w:w="2484"/>
            <w:shd w:fill="F8FAFC"/>
            <w:tcMar>
              <w:top w:w="100" w:type="dxa"/>
              <w:bottom w:w="100" w:type="dxa"/>
              <w:left w:w="120" w:type="dxa"/>
              <w:right w:w="120" w:type="dxa"/>
            </w:tcMar>
          </w:tcPr>
          <w:p>
            <w:r>
              <w:rPr>
                <w:rFonts w:ascii="Calibri" w:hAnsi="Calibri"/>
                <w:sz w:val="18"/>
              </w:rPr>
              <w:t>Percentage of each rupee/dollar of revenue retained as profit.</w:t>
            </w:r>
          </w:p>
        </w:tc>
        <w:tc>
          <w:tcPr>
            <w:tcW w:type="dxa" w:w="2484"/>
            <w:shd w:fill="F8FAFC"/>
            <w:tcMar>
              <w:top w:w="100" w:type="dxa"/>
              <w:bottom w:w="100" w:type="dxa"/>
              <w:left w:w="120" w:type="dxa"/>
              <w:right w:w="120" w:type="dxa"/>
            </w:tcMar>
          </w:tcPr>
          <w:p>
            <w:r>
              <w:rPr>
                <w:rFonts w:ascii="Calibri" w:hAnsi="Calibri"/>
                <w:sz w:val="18"/>
              </w:rPr>
              <w:t>Normal</w:t>
            </w:r>
          </w:p>
        </w:tc>
      </w:tr>
      <w:tr>
        <w:tc>
          <w:tcPr>
            <w:tcW w:type="dxa" w:w="2484"/>
            <w:shd w:fill="FFFFFF"/>
            <w:tcMar>
              <w:top w:w="100" w:type="dxa"/>
              <w:bottom w:w="100" w:type="dxa"/>
              <w:left w:w="120" w:type="dxa"/>
              <w:right w:w="120" w:type="dxa"/>
            </w:tcMar>
          </w:tcPr>
          <w:p>
            <w:r>
              <w:rPr>
                <w:rFonts w:ascii="Calibri" w:hAnsi="Calibri"/>
                <w:sz w:val="18"/>
              </w:rPr>
              <w:t>Average Order Value (AOV)</w:t>
            </w:r>
          </w:p>
        </w:tc>
        <w:tc>
          <w:tcPr>
            <w:tcW w:type="dxa" w:w="2484"/>
            <w:shd w:fill="FFFFFF"/>
            <w:tcMar>
              <w:top w:w="100" w:type="dxa"/>
              <w:bottom w:w="100" w:type="dxa"/>
              <w:left w:w="120" w:type="dxa"/>
              <w:right w:w="120" w:type="dxa"/>
            </w:tcMar>
          </w:tcPr>
          <w:p>
            <w:r>
              <w:rPr>
                <w:rFonts w:ascii="Calibri" w:hAnsi="Calibri"/>
                <w:sz w:val="18"/>
              </w:rPr>
              <w:t>₹470.00</w:t>
            </w:r>
          </w:p>
        </w:tc>
        <w:tc>
          <w:tcPr>
            <w:tcW w:type="dxa" w:w="2484"/>
            <w:shd w:fill="FFFFFF"/>
            <w:tcMar>
              <w:top w:w="100" w:type="dxa"/>
              <w:bottom w:w="100" w:type="dxa"/>
              <w:left w:w="120" w:type="dxa"/>
              <w:right w:w="120" w:type="dxa"/>
            </w:tcMar>
          </w:tcPr>
          <w:p>
            <w:r>
              <w:rPr>
                <w:rFonts w:ascii="Calibri" w:hAnsi="Calibri"/>
                <w:sz w:val="18"/>
              </w:rPr>
              <w:t>Average commercial expenditure per customer order.</w:t>
            </w:r>
          </w:p>
        </w:tc>
        <w:tc>
          <w:tcPr>
            <w:tcW w:type="dxa" w:w="2484"/>
            <w:shd w:fill="FFFFFF"/>
            <w:tcMar>
              <w:top w:w="100" w:type="dxa"/>
              <w:bottom w:w="100" w:type="dxa"/>
              <w:left w:w="120" w:type="dxa"/>
              <w:right w:w="120" w:type="dxa"/>
            </w:tcMar>
          </w:tcPr>
          <w:p>
            <w:r>
              <w:rPr>
                <w:rFonts w:ascii="Calibri" w:hAnsi="Calibri"/>
                <w:sz w:val="18"/>
              </w:rPr>
              <w:t>Normal</w:t>
            </w:r>
          </w:p>
        </w:tc>
      </w:tr>
      <w:tr>
        <w:tc>
          <w:tcPr>
            <w:tcW w:type="dxa" w:w="2484"/>
            <w:shd w:fill="F8FAFC"/>
            <w:tcMar>
              <w:top w:w="100" w:type="dxa"/>
              <w:bottom w:w="100" w:type="dxa"/>
              <w:left w:w="120" w:type="dxa"/>
              <w:right w:w="120" w:type="dxa"/>
            </w:tcMar>
          </w:tcPr>
          <w:p>
            <w:r>
              <w:rPr>
                <w:rFonts w:ascii="Calibri" w:hAnsi="Calibri"/>
                <w:sz w:val="18"/>
              </w:rPr>
              <w:t>Total Order Volume</w:t>
            </w:r>
          </w:p>
        </w:tc>
        <w:tc>
          <w:tcPr>
            <w:tcW w:type="dxa" w:w="2484"/>
            <w:shd w:fill="F8FAFC"/>
            <w:tcMar>
              <w:top w:w="100" w:type="dxa"/>
              <w:bottom w:w="100" w:type="dxa"/>
              <w:left w:w="120" w:type="dxa"/>
              <w:right w:w="120" w:type="dxa"/>
            </w:tcMar>
          </w:tcPr>
          <w:p>
            <w:r>
              <w:rPr>
                <w:rFonts w:ascii="Calibri" w:hAnsi="Calibri"/>
                <w:sz w:val="18"/>
              </w:rPr>
              <w:t>120</w:t>
            </w:r>
          </w:p>
        </w:tc>
        <w:tc>
          <w:tcPr>
            <w:tcW w:type="dxa" w:w="2484"/>
            <w:shd w:fill="F8FAFC"/>
            <w:tcMar>
              <w:top w:w="100" w:type="dxa"/>
              <w:bottom w:w="100" w:type="dxa"/>
              <w:left w:w="120" w:type="dxa"/>
              <w:right w:w="120" w:type="dxa"/>
            </w:tcMar>
          </w:tcPr>
          <w:p>
            <w:r>
              <w:rPr>
                <w:rFonts w:ascii="Calibri" w:hAnsi="Calibri"/>
                <w:sz w:val="18"/>
              </w:rPr>
              <w:t>Total distinct customer transactions completed in the period.</w:t>
            </w:r>
          </w:p>
        </w:tc>
        <w:tc>
          <w:tcPr>
            <w:tcW w:type="dxa" w:w="2484"/>
            <w:shd w:fill="F8FAFC"/>
            <w:tcMar>
              <w:top w:w="100" w:type="dxa"/>
              <w:bottom w:w="100" w:type="dxa"/>
              <w:left w:w="120" w:type="dxa"/>
              <w:right w:w="120" w:type="dxa"/>
            </w:tcMar>
          </w:tcPr>
          <w:p>
            <w:r>
              <w:rPr>
                <w:rFonts w:ascii="Calibri" w:hAnsi="Calibri"/>
                <w:sz w:val="18"/>
              </w:rPr>
              <w:t>Normal</w:t>
            </w:r>
          </w:p>
        </w:tc>
      </w:tr>
      <w:tr>
        <w:tc>
          <w:tcPr>
            <w:tcW w:type="dxa" w:w="2484"/>
            <w:shd w:fill="FFFFFF"/>
            <w:tcMar>
              <w:top w:w="100" w:type="dxa"/>
              <w:bottom w:w="100" w:type="dxa"/>
              <w:left w:w="120" w:type="dxa"/>
              <w:right w:w="120" w:type="dxa"/>
            </w:tcMar>
          </w:tcPr>
          <w:p>
            <w:r>
              <w:rPr>
                <w:rFonts w:ascii="Calibri" w:hAnsi="Calibri"/>
                <w:sz w:val="18"/>
              </w:rPr>
              <w:t>Average Promotional Discount</w:t>
            </w:r>
          </w:p>
        </w:tc>
        <w:tc>
          <w:tcPr>
            <w:tcW w:type="dxa" w:w="2484"/>
            <w:shd w:fill="FFFFFF"/>
            <w:tcMar>
              <w:top w:w="100" w:type="dxa"/>
              <w:bottom w:w="100" w:type="dxa"/>
              <w:left w:w="120" w:type="dxa"/>
              <w:right w:w="120" w:type="dxa"/>
            </w:tcMar>
          </w:tcPr>
          <w:p>
            <w:r>
              <w:rPr>
                <w:rFonts w:ascii="Calibri" w:hAnsi="Calibri"/>
                <w:sz w:val="18"/>
              </w:rPr>
              <w:t>10.0%</w:t>
            </w:r>
          </w:p>
        </w:tc>
        <w:tc>
          <w:tcPr>
            <w:tcW w:type="dxa" w:w="2484"/>
            <w:shd w:fill="FFFFFF"/>
            <w:tcMar>
              <w:top w:w="100" w:type="dxa"/>
              <w:bottom w:w="100" w:type="dxa"/>
              <w:left w:w="120" w:type="dxa"/>
              <w:right w:w="120" w:type="dxa"/>
            </w:tcMar>
          </w:tcPr>
          <w:p>
            <w:r>
              <w:rPr>
                <w:rFonts w:ascii="Calibri" w:hAnsi="Calibri"/>
                <w:sz w:val="18"/>
              </w:rPr>
              <w:t>Mean promotional reduction applied across transaction line items.</w:t>
            </w:r>
          </w:p>
        </w:tc>
        <w:tc>
          <w:tcPr>
            <w:tcW w:type="dxa" w:w="2484"/>
            <w:shd w:fill="FFFFFF"/>
            <w:tcMar>
              <w:top w:w="100" w:type="dxa"/>
              <w:bottom w:w="100" w:type="dxa"/>
              <w:left w:w="120" w:type="dxa"/>
              <w:right w:w="120" w:type="dxa"/>
            </w:tcMar>
          </w:tcPr>
          <w:p>
            <w:r>
              <w:rPr>
                <w:rFonts w:ascii="Calibri" w:hAnsi="Calibri"/>
                <w:sz w:val="18"/>
              </w:rPr>
              <w:t>Normal</w:t>
            </w:r>
          </w:p>
        </w:tc>
      </w:tr>
    </w:tbl>
    <w:p>
      <w:pPr>
        <w:pStyle w:val="Heading2"/>
      </w:pPr>
      <w:r>
        <w:t>Top Commercial Performers</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Mar>
              <w:top w:w="140" w:type="dxa"/>
              <w:bottom w:w="140" w:type="dxa"/>
              <w:left w:w="140" w:type="dxa"/>
              <w:right w:w="140" w:type="dxa"/>
            </w:tcMar>
          </w:tcPr>
          <w:p>
            <w:pPr>
              <w:jc w:val="left"/>
            </w:pPr>
            <w:r>
              <w:rPr>
                <w:rFonts w:ascii="Calibri" w:hAnsi="Calibri"/>
                <w:b/>
                <w:color w:val="FFFFFF"/>
                <w:sz w:val="19"/>
              </w:rPr>
              <w:t>Segment / Entity</w:t>
            </w:r>
          </w:p>
        </w:tc>
        <w:tc>
          <w:tcPr>
            <w:tcW w:type="dxa" w:w="2484"/>
            <w:shd w:fill="1E293B"/>
            <w:tcMar>
              <w:top w:w="140" w:type="dxa"/>
              <w:bottom w:w="140" w:type="dxa"/>
              <w:left w:w="140" w:type="dxa"/>
              <w:right w:w="140" w:type="dxa"/>
            </w:tcMar>
          </w:tcPr>
          <w:p>
            <w:pPr>
              <w:jc w:val="left"/>
            </w:pPr>
            <w:r>
              <w:rPr>
                <w:rFonts w:ascii="Calibri" w:hAnsi="Calibri"/>
                <w:b/>
                <w:color w:val="FFFFFF"/>
                <w:sz w:val="19"/>
              </w:rPr>
              <w:t>Dimension</w:t>
            </w:r>
          </w:p>
        </w:tc>
        <w:tc>
          <w:tcPr>
            <w:tcW w:type="dxa" w:w="2484"/>
            <w:shd w:fill="1E293B"/>
            <w:tcMar>
              <w:top w:w="140" w:type="dxa"/>
              <w:bottom w:w="140" w:type="dxa"/>
              <w:left w:w="140" w:type="dxa"/>
              <w:right w:w="140" w:type="dxa"/>
            </w:tcMar>
          </w:tcPr>
          <w:p>
            <w:pPr>
              <w:jc w:val="left"/>
            </w:pPr>
            <w:r>
              <w:rPr>
                <w:rFonts w:ascii="Calibri" w:hAnsi="Calibri"/>
                <w:b/>
                <w:color w:val="FFFFFF"/>
                <w:sz w:val="19"/>
              </w:rPr>
              <w:t>Revenue</w:t>
            </w:r>
          </w:p>
        </w:tc>
        <w:tc>
          <w:tcPr>
            <w:tcW w:type="dxa" w:w="2484"/>
            <w:shd w:fill="1E293B"/>
            <w:tcMar>
              <w:top w:w="140" w:type="dxa"/>
              <w:bottom w:w="140" w:type="dxa"/>
              <w:left w:w="140" w:type="dxa"/>
              <w:right w:w="140" w:type="dxa"/>
            </w:tcMar>
          </w:tcPr>
          <w:p>
            <w:pPr>
              <w:jc w:val="left"/>
            </w:pPr>
            <w:r>
              <w:rPr>
                <w:rFonts w:ascii="Calibri" w:hAnsi="Calibri"/>
                <w:b/>
                <w:color w:val="FFFFFF"/>
                <w:sz w:val="19"/>
              </w:rPr>
              <w:t>Share %</w:t>
            </w:r>
          </w:p>
        </w:tc>
      </w:tr>
      <w:tr>
        <w:tc>
          <w:tcPr>
            <w:tcW w:type="dxa" w:w="2484"/>
            <w:shd w:fill="F8FAFC"/>
            <w:tcMar>
              <w:top w:w="100" w:type="dxa"/>
              <w:bottom w:w="100" w:type="dxa"/>
              <w:left w:w="120" w:type="dxa"/>
              <w:right w:w="120" w:type="dxa"/>
            </w:tcMar>
          </w:tcPr>
          <w:p>
            <w:r>
              <w:rPr>
                <w:rFonts w:ascii="Calibri" w:hAnsi="Calibri"/>
                <w:sz w:val="18"/>
              </w:rPr>
              <w:t>Laptops</w:t>
            </w:r>
          </w:p>
        </w:tc>
        <w:tc>
          <w:tcPr>
            <w:tcW w:type="dxa" w:w="2484"/>
            <w:shd w:fill="F8FAFC"/>
            <w:tcMar>
              <w:top w:w="100" w:type="dxa"/>
              <w:bottom w:w="100" w:type="dxa"/>
              <w:left w:w="120" w:type="dxa"/>
              <w:right w:w="120" w:type="dxa"/>
            </w:tcMar>
          </w:tcPr>
          <w:p>
            <w:r>
              <w:rPr>
                <w:rFonts w:ascii="Calibri" w:hAnsi="Calibri"/>
                <w:sz w:val="18"/>
              </w:rPr>
              <w:t>Sub Category</w:t>
            </w:r>
          </w:p>
        </w:tc>
        <w:tc>
          <w:tcPr>
            <w:tcW w:type="dxa" w:w="2484"/>
            <w:shd w:fill="F8FAFC"/>
            <w:tcMar>
              <w:top w:w="100" w:type="dxa"/>
              <w:bottom w:w="100" w:type="dxa"/>
              <w:left w:w="120" w:type="dxa"/>
              <w:right w:w="120" w:type="dxa"/>
            </w:tcMar>
          </w:tcPr>
          <w:p>
            <w:r>
              <w:rPr>
                <w:rFonts w:ascii="Calibri" w:hAnsi="Calibri"/>
                <w:sz w:val="18"/>
              </w:rPr>
              <w:t>₹18.00K</w:t>
            </w:r>
          </w:p>
        </w:tc>
        <w:tc>
          <w:tcPr>
            <w:tcW w:type="dxa" w:w="2484"/>
            <w:shd w:fill="F8FAFC"/>
            <w:tcMar>
              <w:top w:w="100" w:type="dxa"/>
              <w:bottom w:w="100" w:type="dxa"/>
              <w:left w:w="120" w:type="dxa"/>
              <w:right w:w="120" w:type="dxa"/>
            </w:tcMar>
          </w:tcPr>
          <w:p>
            <w:r>
              <w:rPr>
                <w:rFonts w:ascii="Calibri" w:hAnsi="Calibri"/>
                <w:sz w:val="18"/>
              </w:rPr>
              <w:t>31.9%</w:t>
            </w:r>
          </w:p>
        </w:tc>
      </w:tr>
      <w:tr>
        <w:tc>
          <w:tcPr>
            <w:tcW w:type="dxa" w:w="2484"/>
            <w:shd w:fill="FFFFFF"/>
            <w:tcMar>
              <w:top w:w="100" w:type="dxa"/>
              <w:bottom w:w="100" w:type="dxa"/>
              <w:left w:w="120" w:type="dxa"/>
              <w:right w:w="120" w:type="dxa"/>
            </w:tcMar>
          </w:tcPr>
          <w:p>
            <w:r>
              <w:rPr>
                <w:rFonts w:ascii="Calibri" w:hAnsi="Calibri"/>
                <w:sz w:val="18"/>
              </w:rPr>
              <w:t>Phones</w:t>
            </w:r>
          </w:p>
        </w:tc>
        <w:tc>
          <w:tcPr>
            <w:tcW w:type="dxa" w:w="2484"/>
            <w:shd w:fill="FFFFFF"/>
            <w:tcMar>
              <w:top w:w="100" w:type="dxa"/>
              <w:bottom w:w="100" w:type="dxa"/>
              <w:left w:w="120" w:type="dxa"/>
              <w:right w:w="120" w:type="dxa"/>
            </w:tcMar>
          </w:tcPr>
          <w:p>
            <w:r>
              <w:rPr>
                <w:rFonts w:ascii="Calibri" w:hAnsi="Calibri"/>
                <w:sz w:val="18"/>
              </w:rPr>
              <w:t>Sub Category</w:t>
            </w:r>
          </w:p>
        </w:tc>
        <w:tc>
          <w:tcPr>
            <w:tcW w:type="dxa" w:w="2484"/>
            <w:shd w:fill="FFFFFF"/>
            <w:tcMar>
              <w:top w:w="100" w:type="dxa"/>
              <w:bottom w:w="100" w:type="dxa"/>
              <w:left w:w="120" w:type="dxa"/>
              <w:right w:w="120" w:type="dxa"/>
            </w:tcMar>
          </w:tcPr>
          <w:p>
            <w:r>
              <w:rPr>
                <w:rFonts w:ascii="Calibri" w:hAnsi="Calibri"/>
                <w:sz w:val="18"/>
              </w:rPr>
              <w:t>₹18.00K</w:t>
            </w:r>
          </w:p>
        </w:tc>
        <w:tc>
          <w:tcPr>
            <w:tcW w:type="dxa" w:w="2484"/>
            <w:shd w:fill="FFFFFF"/>
            <w:tcMar>
              <w:top w:w="100" w:type="dxa"/>
              <w:bottom w:w="100" w:type="dxa"/>
              <w:left w:w="120" w:type="dxa"/>
              <w:right w:w="120" w:type="dxa"/>
            </w:tcMar>
          </w:tcPr>
          <w:p>
            <w:r>
              <w:rPr>
                <w:rFonts w:ascii="Calibri" w:hAnsi="Calibri"/>
                <w:sz w:val="18"/>
              </w:rPr>
              <w:t>31.9%</w:t>
            </w:r>
          </w:p>
        </w:tc>
      </w:tr>
      <w:tr>
        <w:tc>
          <w:tcPr>
            <w:tcW w:type="dxa" w:w="2484"/>
            <w:shd w:fill="F8FAFC"/>
            <w:tcMar>
              <w:top w:w="100" w:type="dxa"/>
              <w:bottom w:w="100" w:type="dxa"/>
              <w:left w:w="120" w:type="dxa"/>
              <w:right w:w="120" w:type="dxa"/>
            </w:tcMar>
          </w:tcPr>
          <w:p>
            <w:r>
              <w:rPr>
                <w:rFonts w:ascii="Calibri" w:hAnsi="Calibri"/>
                <w:sz w:val="18"/>
              </w:rPr>
              <w:t>Tables</w:t>
            </w:r>
          </w:p>
        </w:tc>
        <w:tc>
          <w:tcPr>
            <w:tcW w:type="dxa" w:w="2484"/>
            <w:shd w:fill="F8FAFC"/>
            <w:tcMar>
              <w:top w:w="100" w:type="dxa"/>
              <w:bottom w:w="100" w:type="dxa"/>
              <w:left w:w="120" w:type="dxa"/>
              <w:right w:w="120" w:type="dxa"/>
            </w:tcMar>
          </w:tcPr>
          <w:p>
            <w:r>
              <w:rPr>
                <w:rFonts w:ascii="Calibri" w:hAnsi="Calibri"/>
                <w:sz w:val="18"/>
              </w:rPr>
              <w:t>Sub Category</w:t>
            </w:r>
          </w:p>
        </w:tc>
        <w:tc>
          <w:tcPr>
            <w:tcW w:type="dxa" w:w="2484"/>
            <w:shd w:fill="F8FAFC"/>
            <w:tcMar>
              <w:top w:w="100" w:type="dxa"/>
              <w:bottom w:w="100" w:type="dxa"/>
              <w:left w:w="120" w:type="dxa"/>
              <w:right w:w="120" w:type="dxa"/>
            </w:tcMar>
          </w:tcPr>
          <w:p>
            <w:r>
              <w:rPr>
                <w:rFonts w:ascii="Calibri" w:hAnsi="Calibri"/>
                <w:sz w:val="18"/>
              </w:rPr>
              <w:t>₹6.75K</w:t>
            </w:r>
          </w:p>
        </w:tc>
        <w:tc>
          <w:tcPr>
            <w:tcW w:type="dxa" w:w="2484"/>
            <w:shd w:fill="F8FAFC"/>
            <w:tcMar>
              <w:top w:w="100" w:type="dxa"/>
              <w:bottom w:w="100" w:type="dxa"/>
              <w:left w:w="120" w:type="dxa"/>
              <w:right w:w="120" w:type="dxa"/>
            </w:tcMar>
          </w:tcPr>
          <w:p>
            <w:r>
              <w:rPr>
                <w:rFonts w:ascii="Calibri" w:hAnsi="Calibri"/>
                <w:sz w:val="18"/>
              </w:rPr>
              <w:t>12.0%</w:t>
            </w:r>
          </w:p>
        </w:tc>
      </w:tr>
      <w:tr>
        <w:tc>
          <w:tcPr>
            <w:tcW w:type="dxa" w:w="2484"/>
            <w:shd w:fill="FFFFFF"/>
            <w:tcMar>
              <w:top w:w="100" w:type="dxa"/>
              <w:bottom w:w="100" w:type="dxa"/>
              <w:left w:w="120" w:type="dxa"/>
              <w:right w:w="120" w:type="dxa"/>
            </w:tcMar>
          </w:tcPr>
          <w:p>
            <w:r>
              <w:rPr>
                <w:rFonts w:ascii="Calibri" w:hAnsi="Calibri"/>
                <w:sz w:val="18"/>
              </w:rPr>
              <w:t>Chairs</w:t>
            </w:r>
          </w:p>
        </w:tc>
        <w:tc>
          <w:tcPr>
            <w:tcW w:type="dxa" w:w="2484"/>
            <w:shd w:fill="FFFFFF"/>
            <w:tcMar>
              <w:top w:w="100" w:type="dxa"/>
              <w:bottom w:w="100" w:type="dxa"/>
              <w:left w:w="120" w:type="dxa"/>
              <w:right w:w="120" w:type="dxa"/>
            </w:tcMar>
          </w:tcPr>
          <w:p>
            <w:r>
              <w:rPr>
                <w:rFonts w:ascii="Calibri" w:hAnsi="Calibri"/>
                <w:sz w:val="18"/>
              </w:rPr>
              <w:t>Sub Category</w:t>
            </w:r>
          </w:p>
        </w:tc>
        <w:tc>
          <w:tcPr>
            <w:tcW w:type="dxa" w:w="2484"/>
            <w:shd w:fill="FFFFFF"/>
            <w:tcMar>
              <w:top w:w="100" w:type="dxa"/>
              <w:bottom w:w="100" w:type="dxa"/>
              <w:left w:w="120" w:type="dxa"/>
              <w:right w:w="120" w:type="dxa"/>
            </w:tcMar>
          </w:tcPr>
          <w:p>
            <w:r>
              <w:rPr>
                <w:rFonts w:ascii="Calibri" w:hAnsi="Calibri"/>
                <w:sz w:val="18"/>
              </w:rPr>
              <w:t>₹6.75K</w:t>
            </w:r>
          </w:p>
        </w:tc>
        <w:tc>
          <w:tcPr>
            <w:tcW w:type="dxa" w:w="2484"/>
            <w:shd w:fill="FFFFFF"/>
            <w:tcMar>
              <w:top w:w="100" w:type="dxa"/>
              <w:bottom w:w="100" w:type="dxa"/>
              <w:left w:w="120" w:type="dxa"/>
              <w:right w:w="120" w:type="dxa"/>
            </w:tcMar>
          </w:tcPr>
          <w:p>
            <w:r>
              <w:rPr>
                <w:rFonts w:ascii="Calibri" w:hAnsi="Calibri"/>
                <w:sz w:val="18"/>
              </w:rPr>
              <w:t>12.0%</w:t>
            </w:r>
          </w:p>
        </w:tc>
      </w:tr>
      <w:tr>
        <w:tc>
          <w:tcPr>
            <w:tcW w:type="dxa" w:w="2484"/>
            <w:shd w:fill="F8FAFC"/>
            <w:tcMar>
              <w:top w:w="100" w:type="dxa"/>
              <w:bottom w:w="100" w:type="dxa"/>
              <w:left w:w="120" w:type="dxa"/>
              <w:right w:w="120" w:type="dxa"/>
            </w:tcMar>
          </w:tcPr>
          <w:p>
            <w:r>
              <w:rPr>
                <w:rFonts w:ascii="Calibri" w:hAnsi="Calibri"/>
                <w:sz w:val="18"/>
              </w:rPr>
              <w:t>Paper</w:t>
            </w:r>
          </w:p>
        </w:tc>
        <w:tc>
          <w:tcPr>
            <w:tcW w:type="dxa" w:w="2484"/>
            <w:shd w:fill="F8FAFC"/>
            <w:tcMar>
              <w:top w:w="100" w:type="dxa"/>
              <w:bottom w:w="100" w:type="dxa"/>
              <w:left w:w="120" w:type="dxa"/>
              <w:right w:w="120" w:type="dxa"/>
            </w:tcMar>
          </w:tcPr>
          <w:p>
            <w:r>
              <w:rPr>
                <w:rFonts w:ascii="Calibri" w:hAnsi="Calibri"/>
                <w:sz w:val="18"/>
              </w:rPr>
              <w:t>Sub Category</w:t>
            </w:r>
          </w:p>
        </w:tc>
        <w:tc>
          <w:tcPr>
            <w:tcW w:type="dxa" w:w="2484"/>
            <w:shd w:fill="F8FAFC"/>
            <w:tcMar>
              <w:top w:w="100" w:type="dxa"/>
              <w:bottom w:w="100" w:type="dxa"/>
              <w:left w:w="120" w:type="dxa"/>
              <w:right w:w="120" w:type="dxa"/>
            </w:tcMar>
          </w:tcPr>
          <w:p>
            <w:r>
              <w:rPr>
                <w:rFonts w:ascii="Calibri" w:hAnsi="Calibri"/>
                <w:sz w:val="18"/>
              </w:rPr>
              <w:t>₹2.25K</w:t>
            </w:r>
          </w:p>
        </w:tc>
        <w:tc>
          <w:tcPr>
            <w:tcW w:type="dxa" w:w="2484"/>
            <w:shd w:fill="F8FAFC"/>
            <w:tcMar>
              <w:top w:w="100" w:type="dxa"/>
              <w:bottom w:w="100" w:type="dxa"/>
              <w:left w:w="120" w:type="dxa"/>
              <w:right w:w="120" w:type="dxa"/>
            </w:tcMar>
          </w:tcPr>
          <w:p>
            <w:r>
              <w:rPr>
                <w:rFonts w:ascii="Calibri" w:hAnsi="Calibri"/>
                <w:sz w:val="18"/>
              </w:rPr>
              <w:t>4.0%</w:t>
            </w:r>
          </w:p>
        </w:tc>
      </w:tr>
    </w:tbl>
    <w:p>
      <w:pPr>
        <w:pStyle w:val="Heading1"/>
      </w:pPr>
      <w:r>
        <w:t>3. Revenue &amp; Sales In-Depth Analysis</w:t>
      </w:r>
    </w:p>
    <w:p>
      <w:pPr>
        <w:spacing w:before="160" w:after="40"/>
      </w:pPr>
      <w:r>
        <w:rPr>
          <w:b/>
          <w:sz w:val="21"/>
        </w:rPr>
        <w:t>Observation: Commercial Concentration in Sub Category 'Laptops'</w:t>
      </w:r>
    </w:p>
    <w:p>
      <w:pPr>
        <w:pStyle w:val="ListBullet"/>
        <w:spacing w:after="40"/>
      </w:pPr>
      <w:r>
        <w:rPr>
          <w:b/>
          <w:sz w:val="17"/>
        </w:rPr>
        <w:t xml:space="preserve">1. WHAT WAS OBSERVED: </w:t>
      </w:r>
      <w:r>
        <w:rPr>
          <w:sz w:val="17"/>
        </w:rPr>
        <w:t>'Laptops' generated ₹18.00K, representing 31.9% of total commercial turnover.</w:t>
      </w:r>
    </w:p>
    <w:p>
      <w:pPr>
        <w:pStyle w:val="ListBullet"/>
        <w:spacing w:after="40"/>
      </w:pPr>
      <w:r>
        <w:rPr>
          <w:b/>
          <w:sz w:val="17"/>
        </w:rPr>
        <w:t xml:space="preserve">2. BUSINESS MEANING: </w:t>
      </w:r>
      <w:r>
        <w:rPr>
          <w:sz w:val="17"/>
        </w:rPr>
        <w:t>Commercial performance is heavily anchored to 'Laptops', serving as the primary revenue engine.</w:t>
      </w:r>
    </w:p>
    <w:p>
      <w:pPr>
        <w:pStyle w:val="ListBullet"/>
        <w:spacing w:after="40"/>
      </w:pPr>
      <w:r>
        <w:rPr>
          <w:b/>
          <w:sz w:val="17"/>
        </w:rPr>
        <w:t xml:space="preserve">3. WHY IT MATTERS: </w:t>
      </w:r>
      <w:r>
        <w:rPr>
          <w:sz w:val="17"/>
        </w:rPr>
        <w:t>High concentration creates operational vulnerability if market demand shifts or supply chain disruptions occur.</w:t>
      </w:r>
    </w:p>
    <w:p>
      <w:pPr>
        <w:pStyle w:val="ListBullet"/>
        <w:spacing w:after="40"/>
      </w:pPr>
      <w:r>
        <w:rPr>
          <w:b/>
          <w:sz w:val="17"/>
        </w:rPr>
        <w:t xml:space="preserve">4. RECOMMENDED ACTION: </w:t>
      </w:r>
      <w:r>
        <w:rPr>
          <w:sz w:val="17"/>
        </w:rPr>
        <w:t>Maintain inventory availability for 'Laptops' while actively scaling marketing for complementary categories.</w:t>
      </w:r>
    </w:p>
    <w:p>
      <w:pPr>
        <w:pStyle w:val="ListBullet"/>
        <w:spacing w:after="40"/>
      </w:pPr>
      <w:r>
        <w:rPr>
          <w:b/>
          <w:sz w:val="17"/>
        </w:rPr>
        <w:t xml:space="preserve">5. EVIDENCE FROM DATA: </w:t>
      </w:r>
      <w:r>
        <w:rPr>
          <w:sz w:val="17"/>
        </w:rPr>
        <w:t>Aggregated sales data confirms 31.9% revenue contribution across 120 recorded orders.</w:t>
      </w:r>
    </w:p>
    <w:p>
      <w:pPr>
        <w:pStyle w:val="ListBullet"/>
        <w:spacing w:after="40"/>
      </w:pPr>
      <w:r>
        <w:rPr>
          <w:b/>
          <w:sz w:val="17"/>
        </w:rPr>
        <w:t xml:space="preserve">6. LIMITATIONS TO NOTE: </w:t>
      </w:r>
      <w:r>
        <w:rPr>
          <w:sz w:val="17"/>
        </w:rPr>
        <w:t>Analysis reflects historical transaction records and assumes consistent gross margins across catalogue lines.</w:t>
      </w:r>
    </w:p>
    <w:p>
      <w:pPr>
        <w:spacing w:before="160" w:after="40"/>
      </w:pPr>
      <w:r>
        <w:rPr>
          <w:b/>
          <w:sz w:val="21"/>
        </w:rPr>
        <w:t>Observation: Low Revenue Contribution in Sub Category 'Binders'</w:t>
      </w:r>
    </w:p>
    <w:p>
      <w:pPr>
        <w:pStyle w:val="ListBullet"/>
        <w:spacing w:after="40"/>
      </w:pPr>
      <w:r>
        <w:rPr>
          <w:b/>
          <w:sz w:val="17"/>
        </w:rPr>
        <w:t xml:space="preserve">1. WHAT WAS OBSERVED: </w:t>
      </w:r>
      <w:r>
        <w:rPr>
          <w:sz w:val="17"/>
        </w:rPr>
        <w:t>'Binders' produced only ₹2.25K (4.0% of total sales).</w:t>
      </w:r>
    </w:p>
    <w:p>
      <w:pPr>
        <w:pStyle w:val="ListBullet"/>
        <w:spacing w:after="40"/>
      </w:pPr>
      <w:r>
        <w:rPr>
          <w:b/>
          <w:sz w:val="17"/>
        </w:rPr>
        <w:t xml:space="preserve">2. BUSINESS MEANING: </w:t>
      </w:r>
      <w:r>
        <w:rPr>
          <w:sz w:val="17"/>
        </w:rPr>
        <w:t>This segment exhibits weak customer demand or insufficient marketing exposure relative to the rest of the catalogue.</w:t>
      </w:r>
    </w:p>
    <w:p>
      <w:pPr>
        <w:pStyle w:val="ListBullet"/>
        <w:spacing w:after="40"/>
      </w:pPr>
      <w:r>
        <w:rPr>
          <w:b/>
          <w:sz w:val="17"/>
        </w:rPr>
        <w:t xml:space="preserve">3. WHY IT MATTERS: </w:t>
      </w:r>
      <w:r>
        <w:rPr>
          <w:sz w:val="17"/>
        </w:rPr>
        <w:t>Underperforming catalogue lines tie up shelf space, working capital, or catalogue overhead without generating proportional returns.</w:t>
      </w:r>
    </w:p>
    <w:p>
      <w:pPr>
        <w:pStyle w:val="ListBullet"/>
        <w:spacing w:after="40"/>
      </w:pPr>
      <w:r>
        <w:rPr>
          <w:b/>
          <w:sz w:val="17"/>
        </w:rPr>
        <w:t xml:space="preserve">4. RECOMMENDED ACTION: </w:t>
      </w:r>
      <w:r>
        <w:rPr>
          <w:sz w:val="17"/>
        </w:rPr>
        <w:t>Audit merchandising and pricing for 'Binders'; consider bundling or strategic phase-out if margins are negligible.</w:t>
      </w:r>
    </w:p>
    <w:p>
      <w:pPr>
        <w:pStyle w:val="ListBullet"/>
        <w:spacing w:after="40"/>
      </w:pPr>
      <w:r>
        <w:rPr>
          <w:b/>
          <w:sz w:val="17"/>
        </w:rPr>
        <w:t xml:space="preserve">5. EVIDENCE FROM DATA: </w:t>
      </w:r>
      <w:r>
        <w:rPr>
          <w:sz w:val="17"/>
        </w:rPr>
        <w:t>Recorded revenue of ₹2.25K over the full reporting period.</w:t>
      </w:r>
    </w:p>
    <w:p>
      <w:pPr>
        <w:pStyle w:val="ListBullet"/>
        <w:spacing w:after="40"/>
      </w:pPr>
      <w:r>
        <w:rPr>
          <w:b/>
          <w:sz w:val="17"/>
        </w:rPr>
        <w:t xml:space="preserve">6. LIMITATIONS TO NOTE: </w:t>
      </w:r>
      <w:r>
        <w:rPr>
          <w:sz w:val="17"/>
        </w:rPr>
        <w:t>Excludes unrecorded customer inquiries or offline conversion paths.</w:t>
      </w:r>
    </w:p>
    <w:p>
      <w:pPr>
        <w:pStyle w:val="Heading1"/>
        <w:spacing w:before="280" w:after="80"/>
      </w:pPr>
      <w:r>
        <w:t>4. Profit &amp; Loss Analysis</w:t>
      </w:r>
    </w:p>
    <w:p>
      <w:r>
        <w:rPr>
          <w:b/>
          <w:sz w:val="19"/>
        </w:rPr>
        <w:t>Revenue: Total revenue: ₹56.40K   |   Net Profit: Total net profit: ₹9.60K   |   Margin: Overall profit margin: 17.0%</w:t>
      </w:r>
    </w:p>
    <w:p>
      <w:pPr>
        <w:pStyle w:val="Heading2"/>
      </w:pPr>
      <w:r>
        <w:t>Loss-Making Segments (Direct Margin Leakage)</w:t>
      </w:r>
    </w:p>
    <w:tbl>
      <w:tblPr>
        <w:tblW w:type="auto" w:w="0"/>
        <w:jc w:val="center"/>
        <w:tblLook w:firstColumn="1" w:firstRow="1" w:lastColumn="0" w:lastRow="0" w:noHBand="0" w:noVBand="1" w:val="04A0"/>
      </w:tblPr>
      <w:tblGrid>
        <w:gridCol w:w="2484"/>
        <w:gridCol w:w="2484"/>
        <w:gridCol w:w="2484"/>
        <w:gridCol w:w="2484"/>
      </w:tblGrid>
      <w:tr>
        <w:tc>
          <w:tcPr>
            <w:tcW w:type="dxa" w:w="2484"/>
            <w:shd w:fill="991B1B"/>
            <w:tcMar>
              <w:top w:w="140" w:type="dxa"/>
              <w:bottom w:w="140" w:type="dxa"/>
              <w:left w:w="140" w:type="dxa"/>
              <w:right w:w="140" w:type="dxa"/>
            </w:tcMar>
          </w:tcPr>
          <w:p>
            <w:pPr>
              <w:jc w:val="left"/>
            </w:pPr>
            <w:r>
              <w:rPr>
                <w:rFonts w:ascii="Calibri" w:hAnsi="Calibri"/>
                <w:b/>
                <w:color w:val="FFFFFF"/>
                <w:sz w:val="19"/>
              </w:rPr>
              <w:t>Segment Name</w:t>
            </w:r>
          </w:p>
        </w:tc>
        <w:tc>
          <w:tcPr>
            <w:tcW w:type="dxa" w:w="2484"/>
            <w:shd w:fill="991B1B"/>
            <w:tcMar>
              <w:top w:w="140" w:type="dxa"/>
              <w:bottom w:w="140" w:type="dxa"/>
              <w:left w:w="140" w:type="dxa"/>
              <w:right w:w="140" w:type="dxa"/>
            </w:tcMar>
          </w:tcPr>
          <w:p>
            <w:pPr>
              <w:jc w:val="left"/>
            </w:pPr>
            <w:r>
              <w:rPr>
                <w:rFonts w:ascii="Calibri" w:hAnsi="Calibri"/>
                <w:b/>
                <w:color w:val="FFFFFF"/>
                <w:sz w:val="19"/>
              </w:rPr>
              <w:t>Revenue</w:t>
            </w:r>
          </w:p>
        </w:tc>
        <w:tc>
          <w:tcPr>
            <w:tcW w:type="dxa" w:w="2484"/>
            <w:shd w:fill="991B1B"/>
            <w:tcMar>
              <w:top w:w="140" w:type="dxa"/>
              <w:bottom w:w="140" w:type="dxa"/>
              <w:left w:w="140" w:type="dxa"/>
              <w:right w:w="140" w:type="dxa"/>
            </w:tcMar>
          </w:tcPr>
          <w:p>
            <w:pPr>
              <w:jc w:val="left"/>
            </w:pPr>
            <w:r>
              <w:rPr>
                <w:rFonts w:ascii="Calibri" w:hAnsi="Calibri"/>
                <w:b/>
                <w:color w:val="FFFFFF"/>
                <w:sz w:val="19"/>
              </w:rPr>
              <w:t>Loss Amount</w:t>
            </w:r>
          </w:p>
        </w:tc>
        <w:tc>
          <w:tcPr>
            <w:tcW w:type="dxa" w:w="2484"/>
            <w:shd w:fill="991B1B"/>
            <w:tcMar>
              <w:top w:w="140" w:type="dxa"/>
              <w:bottom w:w="140" w:type="dxa"/>
              <w:left w:w="140" w:type="dxa"/>
              <w:right w:w="140" w:type="dxa"/>
            </w:tcMar>
          </w:tcPr>
          <w:p>
            <w:pPr>
              <w:jc w:val="left"/>
            </w:pPr>
            <w:r>
              <w:rPr>
                <w:rFonts w:ascii="Calibri" w:hAnsi="Calibri"/>
                <w:b/>
                <w:color w:val="FFFFFF"/>
                <w:sz w:val="19"/>
              </w:rPr>
              <w:t>Margin %</w:t>
            </w:r>
          </w:p>
        </w:tc>
      </w:tr>
      <w:tr>
        <w:tc>
          <w:tcPr>
            <w:tcW w:type="dxa" w:w="2484"/>
            <w:shd w:fill="FEF2F2"/>
            <w:tcMar>
              <w:top w:w="100" w:type="dxa"/>
              <w:bottom w:w="100" w:type="dxa"/>
              <w:left w:w="120" w:type="dxa"/>
              <w:right w:w="120" w:type="dxa"/>
            </w:tcMar>
          </w:tcPr>
          <w:p>
            <w:r>
              <w:rPr>
                <w:rFonts w:ascii="Calibri" w:hAnsi="Calibri"/>
                <w:sz w:val="18"/>
              </w:rPr>
              <w:t>Chairs</w:t>
            </w:r>
          </w:p>
        </w:tc>
        <w:tc>
          <w:tcPr>
            <w:tcW w:type="dxa" w:w="2484"/>
            <w:shd w:fill="FEF2F2"/>
            <w:tcMar>
              <w:top w:w="100" w:type="dxa"/>
              <w:bottom w:w="100" w:type="dxa"/>
              <w:left w:w="120" w:type="dxa"/>
              <w:right w:w="120" w:type="dxa"/>
            </w:tcMar>
          </w:tcPr>
          <w:p>
            <w:r>
              <w:rPr>
                <w:rFonts w:ascii="Calibri" w:hAnsi="Calibri"/>
                <w:sz w:val="18"/>
              </w:rPr>
              <w:t>₹6.75K</w:t>
            </w:r>
          </w:p>
        </w:tc>
        <w:tc>
          <w:tcPr>
            <w:tcW w:type="dxa" w:w="2484"/>
            <w:shd w:fill="FEF2F2"/>
            <w:tcMar>
              <w:top w:w="100" w:type="dxa"/>
              <w:bottom w:w="100" w:type="dxa"/>
              <w:left w:w="120" w:type="dxa"/>
              <w:right w:w="120" w:type="dxa"/>
            </w:tcMar>
          </w:tcPr>
          <w:p>
            <w:r>
              <w:rPr>
                <w:rFonts w:ascii="Calibri" w:hAnsi="Calibri"/>
                <w:sz w:val="18"/>
              </w:rPr>
              <w:t>-₹675.00</w:t>
            </w:r>
          </w:p>
        </w:tc>
        <w:tc>
          <w:tcPr>
            <w:tcW w:type="dxa" w:w="2484"/>
            <w:shd w:fill="FEF2F2"/>
            <w:tcMar>
              <w:top w:w="100" w:type="dxa"/>
              <w:bottom w:w="100" w:type="dxa"/>
              <w:left w:w="120" w:type="dxa"/>
              <w:right w:w="120" w:type="dxa"/>
            </w:tcMar>
          </w:tcPr>
          <w:p>
            <w:r>
              <w:rPr>
                <w:rFonts w:ascii="Calibri" w:hAnsi="Calibri"/>
                <w:sz w:val="18"/>
              </w:rPr>
              <w:t>-10.0%</w:t>
            </w:r>
          </w:p>
        </w:tc>
      </w:tr>
      <w:tr>
        <w:tc>
          <w:tcPr>
            <w:tcW w:type="dxa" w:w="2484"/>
            <w:shd w:fill="FFFFFF"/>
            <w:tcMar>
              <w:top w:w="100" w:type="dxa"/>
              <w:bottom w:w="100" w:type="dxa"/>
              <w:left w:w="120" w:type="dxa"/>
              <w:right w:w="120" w:type="dxa"/>
            </w:tcMar>
          </w:tcPr>
          <w:p>
            <w:r>
              <w:rPr>
                <w:rFonts w:ascii="Calibri" w:hAnsi="Calibri"/>
                <w:sz w:val="18"/>
              </w:rPr>
              <w:t>Tables</w:t>
            </w:r>
          </w:p>
        </w:tc>
        <w:tc>
          <w:tcPr>
            <w:tcW w:type="dxa" w:w="2484"/>
            <w:shd w:fill="FFFFFF"/>
            <w:tcMar>
              <w:top w:w="100" w:type="dxa"/>
              <w:bottom w:w="100" w:type="dxa"/>
              <w:left w:w="120" w:type="dxa"/>
              <w:right w:w="120" w:type="dxa"/>
            </w:tcMar>
          </w:tcPr>
          <w:p>
            <w:r>
              <w:rPr>
                <w:rFonts w:ascii="Calibri" w:hAnsi="Calibri"/>
                <w:sz w:val="18"/>
              </w:rPr>
              <w:t>₹6.75K</w:t>
            </w:r>
          </w:p>
        </w:tc>
        <w:tc>
          <w:tcPr>
            <w:tcW w:type="dxa" w:w="2484"/>
            <w:shd w:fill="FFFFFF"/>
            <w:tcMar>
              <w:top w:w="100" w:type="dxa"/>
              <w:bottom w:w="100" w:type="dxa"/>
              <w:left w:w="120" w:type="dxa"/>
              <w:right w:w="120" w:type="dxa"/>
            </w:tcMar>
          </w:tcPr>
          <w:p>
            <w:r>
              <w:rPr>
                <w:rFonts w:ascii="Calibri" w:hAnsi="Calibri"/>
                <w:sz w:val="18"/>
              </w:rPr>
              <w:t>-₹675.00</w:t>
            </w:r>
          </w:p>
        </w:tc>
        <w:tc>
          <w:tcPr>
            <w:tcW w:type="dxa" w:w="2484"/>
            <w:shd w:fill="FFFFFF"/>
            <w:tcMar>
              <w:top w:w="100" w:type="dxa"/>
              <w:bottom w:w="100" w:type="dxa"/>
              <w:left w:w="120" w:type="dxa"/>
              <w:right w:w="120" w:type="dxa"/>
            </w:tcMar>
          </w:tcPr>
          <w:p>
            <w:r>
              <w:rPr>
                <w:rFonts w:ascii="Calibri" w:hAnsi="Calibri"/>
                <w:sz w:val="18"/>
              </w:rPr>
              <w:t>-10.0%</w:t>
            </w:r>
          </w:p>
        </w:tc>
      </w:tr>
    </w:tbl>
    <w:p>
      <w:pPr>
        <w:pStyle w:val="Heading1"/>
      </w:pPr>
      <w:r>
        <w:t>5. Customer &amp; Segment Analysis</w:t>
      </w:r>
    </w:p>
    <w:p>
      <w:r>
        <w:t>Evaluated customer purchasing behavior across 4 distinct segment tiers.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293B"/>
            <w:tcMar>
              <w:top w:w="140" w:type="dxa"/>
              <w:bottom w:w="140" w:type="dxa"/>
              <w:left w:w="140" w:type="dxa"/>
              <w:right w:w="140" w:type="dxa"/>
            </w:tcMar>
          </w:tcPr>
          <w:p>
            <w:pPr>
              <w:jc w:val="left"/>
            </w:pPr>
            <w:r>
              <w:rPr>
                <w:rFonts w:ascii="Calibri" w:hAnsi="Calibri"/>
                <w:b/>
                <w:color w:val="FFFFFF"/>
                <w:sz w:val="19"/>
              </w:rPr>
              <w:t>Customer Segment</w:t>
            </w:r>
          </w:p>
        </w:tc>
        <w:tc>
          <w:tcPr>
            <w:tcW w:type="dxa" w:w="1987"/>
            <w:shd w:fill="1E293B"/>
            <w:tcMar>
              <w:top w:w="140" w:type="dxa"/>
              <w:bottom w:w="140" w:type="dxa"/>
              <w:left w:w="140" w:type="dxa"/>
              <w:right w:w="140" w:type="dxa"/>
            </w:tcMar>
          </w:tcPr>
          <w:p>
            <w:pPr>
              <w:jc w:val="left"/>
            </w:pPr>
            <w:r>
              <w:rPr>
                <w:rFonts w:ascii="Calibri" w:hAnsi="Calibri"/>
                <w:b/>
                <w:color w:val="FFFFFF"/>
                <w:sz w:val="19"/>
              </w:rPr>
              <w:t>Revenue</w:t>
            </w:r>
          </w:p>
        </w:tc>
        <w:tc>
          <w:tcPr>
            <w:tcW w:type="dxa" w:w="1987"/>
            <w:shd w:fill="1E293B"/>
            <w:tcMar>
              <w:top w:w="140" w:type="dxa"/>
              <w:bottom w:w="140" w:type="dxa"/>
              <w:left w:w="140" w:type="dxa"/>
              <w:right w:w="140" w:type="dxa"/>
            </w:tcMar>
          </w:tcPr>
          <w:p>
            <w:pPr>
              <w:jc w:val="left"/>
            </w:pPr>
            <w:r>
              <w:rPr>
                <w:rFonts w:ascii="Calibri" w:hAnsi="Calibri"/>
                <w:b/>
                <w:color w:val="FFFFFF"/>
                <w:sz w:val="19"/>
              </w:rPr>
              <w:t>Share %</w:t>
            </w:r>
          </w:p>
        </w:tc>
        <w:tc>
          <w:tcPr>
            <w:tcW w:type="dxa" w:w="1987"/>
            <w:shd w:fill="1E293B"/>
            <w:tcMar>
              <w:top w:w="140" w:type="dxa"/>
              <w:bottom w:w="140" w:type="dxa"/>
              <w:left w:w="140" w:type="dxa"/>
              <w:right w:w="140" w:type="dxa"/>
            </w:tcMar>
          </w:tcPr>
          <w:p>
            <w:pPr>
              <w:jc w:val="left"/>
            </w:pPr>
            <w:r>
              <w:rPr>
                <w:rFonts w:ascii="Calibri" w:hAnsi="Calibri"/>
                <w:b/>
                <w:color w:val="FFFFFF"/>
                <w:sz w:val="19"/>
              </w:rPr>
              <w:t>Average Order Value</w:t>
            </w:r>
          </w:p>
        </w:tc>
        <w:tc>
          <w:tcPr>
            <w:tcW w:type="dxa" w:w="1987"/>
            <w:shd w:fill="1E293B"/>
            <w:tcMar>
              <w:top w:w="140" w:type="dxa"/>
              <w:bottom w:w="140" w:type="dxa"/>
              <w:left w:w="140" w:type="dxa"/>
              <w:right w:w="140" w:type="dxa"/>
            </w:tcMar>
          </w:tcPr>
          <w:p>
            <w:pPr>
              <w:jc w:val="left"/>
            </w:pPr>
            <w:r>
              <w:rPr>
                <w:rFonts w:ascii="Calibri" w:hAnsi="Calibri"/>
                <w:b/>
                <w:color w:val="FFFFFF"/>
                <w:sz w:val="19"/>
              </w:rPr>
              <w:t>Marketing Strategy</w:t>
            </w:r>
          </w:p>
        </w:tc>
      </w:tr>
      <w:tr>
        <w:tc>
          <w:tcPr>
            <w:tcW w:type="dxa" w:w="1987"/>
            <w:shd w:fill="F8FAFC"/>
            <w:tcMar>
              <w:top w:w="100" w:type="dxa"/>
              <w:bottom w:w="100" w:type="dxa"/>
              <w:left w:w="120" w:type="dxa"/>
              <w:right w:w="120" w:type="dxa"/>
            </w:tcMar>
          </w:tcPr>
          <w:p>
            <w:r>
              <w:rPr>
                <w:rFonts w:ascii="Calibri" w:hAnsi="Calibri"/>
                <w:sz w:val="18"/>
              </w:rPr>
              <w:t>Corporate</w:t>
            </w:r>
          </w:p>
        </w:tc>
        <w:tc>
          <w:tcPr>
            <w:tcW w:type="dxa" w:w="1987"/>
            <w:shd w:fill="F8FAFC"/>
            <w:tcMar>
              <w:top w:w="100" w:type="dxa"/>
              <w:bottom w:w="100" w:type="dxa"/>
              <w:left w:w="120" w:type="dxa"/>
              <w:right w:w="120" w:type="dxa"/>
            </w:tcMar>
          </w:tcPr>
          <w:p>
            <w:r>
              <w:rPr>
                <w:rFonts w:ascii="Calibri" w:hAnsi="Calibri"/>
                <w:sz w:val="18"/>
              </w:rPr>
              <w:t>₹36.00K</w:t>
            </w:r>
          </w:p>
        </w:tc>
        <w:tc>
          <w:tcPr>
            <w:tcW w:type="dxa" w:w="1987"/>
            <w:shd w:fill="F8FAFC"/>
            <w:tcMar>
              <w:top w:w="100" w:type="dxa"/>
              <w:bottom w:w="100" w:type="dxa"/>
              <w:left w:w="120" w:type="dxa"/>
              <w:right w:w="120" w:type="dxa"/>
            </w:tcMar>
          </w:tcPr>
          <w:p>
            <w:r>
              <w:rPr>
                <w:rFonts w:ascii="Calibri" w:hAnsi="Calibri"/>
                <w:sz w:val="18"/>
              </w:rPr>
              <w:t>63.8%</w:t>
            </w:r>
          </w:p>
        </w:tc>
        <w:tc>
          <w:tcPr>
            <w:tcW w:type="dxa" w:w="1987"/>
            <w:shd w:fill="F8FAFC"/>
            <w:tcMar>
              <w:top w:w="100" w:type="dxa"/>
              <w:bottom w:w="100" w:type="dxa"/>
              <w:left w:w="120" w:type="dxa"/>
              <w:right w:w="120" w:type="dxa"/>
            </w:tcMar>
          </w:tcPr>
          <w:p>
            <w:r>
              <w:rPr>
                <w:rFonts w:ascii="Calibri" w:hAnsi="Calibri"/>
                <w:sz w:val="18"/>
              </w:rPr>
              <w:t>₹1.20K</w:t>
            </w:r>
          </w:p>
        </w:tc>
        <w:tc>
          <w:tcPr>
            <w:tcW w:type="dxa" w:w="1987"/>
            <w:shd w:fill="F8FAFC"/>
            <w:tcMar>
              <w:top w:w="100" w:type="dxa"/>
              <w:bottom w:w="100" w:type="dxa"/>
              <w:left w:w="120" w:type="dxa"/>
              <w:right w:w="120" w:type="dxa"/>
            </w:tcMar>
          </w:tcPr>
          <w:p>
            <w:r>
              <w:rPr>
                <w:rFonts w:ascii="Calibri" w:hAnsi="Calibri"/>
                <w:sz w:val="18"/>
              </w:rPr>
              <w:t>Tailor loyalty retention campaigns for 'Corporate' to expand lifetime value.</w:t>
            </w:r>
          </w:p>
        </w:tc>
      </w:tr>
      <w:tr>
        <w:tc>
          <w:tcPr>
            <w:tcW w:type="dxa" w:w="1987"/>
            <w:shd w:fill="FFFFFF"/>
            <w:tcMar>
              <w:top w:w="100" w:type="dxa"/>
              <w:bottom w:w="100" w:type="dxa"/>
              <w:left w:w="120" w:type="dxa"/>
              <w:right w:w="120" w:type="dxa"/>
            </w:tcMar>
          </w:tcPr>
          <w:p>
            <w:r>
              <w:rPr>
                <w:rFonts w:ascii="Calibri" w:hAnsi="Calibri"/>
                <w:sz w:val="18"/>
              </w:rPr>
              <w:t>Consumer</w:t>
            </w:r>
          </w:p>
        </w:tc>
        <w:tc>
          <w:tcPr>
            <w:tcW w:type="dxa" w:w="1987"/>
            <w:shd w:fill="FFFFFF"/>
            <w:tcMar>
              <w:top w:w="100" w:type="dxa"/>
              <w:bottom w:w="100" w:type="dxa"/>
              <w:left w:w="120" w:type="dxa"/>
              <w:right w:w="120" w:type="dxa"/>
            </w:tcMar>
          </w:tcPr>
          <w:p>
            <w:r>
              <w:rPr>
                <w:rFonts w:ascii="Calibri" w:hAnsi="Calibri"/>
                <w:sz w:val="18"/>
              </w:rPr>
              <w:t>₹13.50K</w:t>
            </w:r>
          </w:p>
        </w:tc>
        <w:tc>
          <w:tcPr>
            <w:tcW w:type="dxa" w:w="1987"/>
            <w:shd w:fill="FFFFFF"/>
            <w:tcMar>
              <w:top w:w="100" w:type="dxa"/>
              <w:bottom w:w="100" w:type="dxa"/>
              <w:left w:w="120" w:type="dxa"/>
              <w:right w:w="120" w:type="dxa"/>
            </w:tcMar>
          </w:tcPr>
          <w:p>
            <w:r>
              <w:rPr>
                <w:rFonts w:ascii="Calibri" w:hAnsi="Calibri"/>
                <w:sz w:val="18"/>
              </w:rPr>
              <w:t>23.9%</w:t>
            </w:r>
          </w:p>
        </w:tc>
        <w:tc>
          <w:tcPr>
            <w:tcW w:type="dxa" w:w="1987"/>
            <w:shd w:fill="FFFFFF"/>
            <w:tcMar>
              <w:top w:w="100" w:type="dxa"/>
              <w:bottom w:w="100" w:type="dxa"/>
              <w:left w:w="120" w:type="dxa"/>
              <w:right w:w="120" w:type="dxa"/>
            </w:tcMar>
          </w:tcPr>
          <w:p>
            <w:r>
              <w:rPr>
                <w:rFonts w:ascii="Calibri" w:hAnsi="Calibri"/>
                <w:sz w:val="18"/>
              </w:rPr>
              <w:t>₹450.00</w:t>
            </w:r>
          </w:p>
        </w:tc>
        <w:tc>
          <w:tcPr>
            <w:tcW w:type="dxa" w:w="1987"/>
            <w:shd w:fill="FFFFFF"/>
            <w:tcMar>
              <w:top w:w="100" w:type="dxa"/>
              <w:bottom w:w="100" w:type="dxa"/>
              <w:left w:w="120" w:type="dxa"/>
              <w:right w:w="120" w:type="dxa"/>
            </w:tcMar>
          </w:tcPr>
          <w:p>
            <w:r>
              <w:rPr>
                <w:rFonts w:ascii="Calibri" w:hAnsi="Calibri"/>
                <w:sz w:val="18"/>
              </w:rPr>
              <w:t>Target acquisition promotions to scale order frequency in 'Consumer'.</w:t>
            </w:r>
          </w:p>
        </w:tc>
      </w:tr>
      <w:tr>
        <w:tc>
          <w:tcPr>
            <w:tcW w:type="dxa" w:w="1987"/>
            <w:shd w:fill="F8FAFC"/>
            <w:tcMar>
              <w:top w:w="100" w:type="dxa"/>
              <w:bottom w:w="100" w:type="dxa"/>
              <w:left w:w="120" w:type="dxa"/>
              <w:right w:w="120" w:type="dxa"/>
            </w:tcMar>
          </w:tcPr>
          <w:p>
            <w:r>
              <w:rPr>
                <w:rFonts w:ascii="Calibri" w:hAnsi="Calibri"/>
                <w:sz w:val="18"/>
              </w:rPr>
              <w:t>Home Office</w:t>
            </w:r>
          </w:p>
        </w:tc>
        <w:tc>
          <w:tcPr>
            <w:tcW w:type="dxa" w:w="1987"/>
            <w:shd w:fill="F8FAFC"/>
            <w:tcMar>
              <w:top w:w="100" w:type="dxa"/>
              <w:bottom w:w="100" w:type="dxa"/>
              <w:left w:w="120" w:type="dxa"/>
              <w:right w:w="120" w:type="dxa"/>
            </w:tcMar>
          </w:tcPr>
          <w:p>
            <w:r>
              <w:rPr>
                <w:rFonts w:ascii="Calibri" w:hAnsi="Calibri"/>
                <w:sz w:val="18"/>
              </w:rPr>
              <w:t>₹4.50K</w:t>
            </w:r>
          </w:p>
        </w:tc>
        <w:tc>
          <w:tcPr>
            <w:tcW w:type="dxa" w:w="1987"/>
            <w:shd w:fill="F8FAFC"/>
            <w:tcMar>
              <w:top w:w="100" w:type="dxa"/>
              <w:bottom w:w="100" w:type="dxa"/>
              <w:left w:w="120" w:type="dxa"/>
              <w:right w:w="120" w:type="dxa"/>
            </w:tcMar>
          </w:tcPr>
          <w:p>
            <w:r>
              <w:rPr>
                <w:rFonts w:ascii="Calibri" w:hAnsi="Calibri"/>
                <w:sz w:val="18"/>
              </w:rPr>
              <w:t>8.0%</w:t>
            </w:r>
          </w:p>
        </w:tc>
        <w:tc>
          <w:tcPr>
            <w:tcW w:type="dxa" w:w="1987"/>
            <w:shd w:fill="F8FAFC"/>
            <w:tcMar>
              <w:top w:w="100" w:type="dxa"/>
              <w:bottom w:w="100" w:type="dxa"/>
              <w:left w:w="120" w:type="dxa"/>
              <w:right w:w="120" w:type="dxa"/>
            </w:tcMar>
          </w:tcPr>
          <w:p>
            <w:r>
              <w:rPr>
                <w:rFonts w:ascii="Calibri" w:hAnsi="Calibri"/>
                <w:sz w:val="18"/>
              </w:rPr>
              <w:t>₹150.00</w:t>
            </w:r>
          </w:p>
        </w:tc>
        <w:tc>
          <w:tcPr>
            <w:tcW w:type="dxa" w:w="1987"/>
            <w:shd w:fill="F8FAFC"/>
            <w:tcMar>
              <w:top w:w="100" w:type="dxa"/>
              <w:bottom w:w="100" w:type="dxa"/>
              <w:left w:w="120" w:type="dxa"/>
              <w:right w:w="120" w:type="dxa"/>
            </w:tcMar>
          </w:tcPr>
          <w:p>
            <w:r>
              <w:rPr>
                <w:rFonts w:ascii="Calibri" w:hAnsi="Calibri"/>
                <w:sz w:val="18"/>
              </w:rPr>
              <w:t>Target acquisition promotions to scale order frequency in 'Home Office'.</w:t>
            </w:r>
          </w:p>
        </w:tc>
      </w:tr>
      <w:tr>
        <w:tc>
          <w:tcPr>
            <w:tcW w:type="dxa" w:w="1987"/>
            <w:shd w:fill="FFFFFF"/>
            <w:tcMar>
              <w:top w:w="100" w:type="dxa"/>
              <w:bottom w:w="100" w:type="dxa"/>
              <w:left w:w="120" w:type="dxa"/>
              <w:right w:w="120" w:type="dxa"/>
            </w:tcMar>
          </w:tcPr>
          <w:p>
            <w:r>
              <w:rPr>
                <w:rFonts w:ascii="Calibri" w:hAnsi="Calibri"/>
                <w:sz w:val="18"/>
              </w:rPr>
              <w:t>Small Business</w:t>
            </w:r>
          </w:p>
        </w:tc>
        <w:tc>
          <w:tcPr>
            <w:tcW w:type="dxa" w:w="1987"/>
            <w:shd w:fill="FFFFFF"/>
            <w:tcMar>
              <w:top w:w="100" w:type="dxa"/>
              <w:bottom w:w="100" w:type="dxa"/>
              <w:left w:w="120" w:type="dxa"/>
              <w:right w:w="120" w:type="dxa"/>
            </w:tcMar>
          </w:tcPr>
          <w:p>
            <w:r>
              <w:rPr>
                <w:rFonts w:ascii="Calibri" w:hAnsi="Calibri"/>
                <w:sz w:val="18"/>
              </w:rPr>
              <w:t>₹2.40K</w:t>
            </w:r>
          </w:p>
        </w:tc>
        <w:tc>
          <w:tcPr>
            <w:tcW w:type="dxa" w:w="1987"/>
            <w:shd w:fill="FFFFFF"/>
            <w:tcMar>
              <w:top w:w="100" w:type="dxa"/>
              <w:bottom w:w="100" w:type="dxa"/>
              <w:left w:w="120" w:type="dxa"/>
              <w:right w:w="120" w:type="dxa"/>
            </w:tcMar>
          </w:tcPr>
          <w:p>
            <w:r>
              <w:rPr>
                <w:rFonts w:ascii="Calibri" w:hAnsi="Calibri"/>
                <w:sz w:val="18"/>
              </w:rPr>
              <w:t>4.3%</w:t>
            </w:r>
          </w:p>
        </w:tc>
        <w:tc>
          <w:tcPr>
            <w:tcW w:type="dxa" w:w="1987"/>
            <w:shd w:fill="FFFFFF"/>
            <w:tcMar>
              <w:top w:w="100" w:type="dxa"/>
              <w:bottom w:w="100" w:type="dxa"/>
              <w:left w:w="120" w:type="dxa"/>
              <w:right w:w="120" w:type="dxa"/>
            </w:tcMar>
          </w:tcPr>
          <w:p>
            <w:r>
              <w:rPr>
                <w:rFonts w:ascii="Calibri" w:hAnsi="Calibri"/>
                <w:sz w:val="18"/>
              </w:rPr>
              <w:t>₹80.00</w:t>
            </w:r>
          </w:p>
        </w:tc>
        <w:tc>
          <w:tcPr>
            <w:tcW w:type="dxa" w:w="1987"/>
            <w:shd w:fill="FFFFFF"/>
            <w:tcMar>
              <w:top w:w="100" w:type="dxa"/>
              <w:bottom w:w="100" w:type="dxa"/>
              <w:left w:w="120" w:type="dxa"/>
              <w:right w:w="120" w:type="dxa"/>
            </w:tcMar>
          </w:tcPr>
          <w:p>
            <w:r>
              <w:rPr>
                <w:rFonts w:ascii="Calibri" w:hAnsi="Calibri"/>
                <w:sz w:val="18"/>
              </w:rPr>
              <w:t>Target acquisition promotions to scale order frequency in 'Small Business'.</w:t>
            </w:r>
          </w:p>
        </w:tc>
      </w:tr>
    </w:tbl>
    <w:p>
      <w:pPr>
        <w:pStyle w:val="Heading1"/>
      </w:pPr>
      <w:r>
        <w:t>6. Regional &amp; Channel Distribution</w:t>
      </w:r>
    </w:p>
    <w:p>
      <w:r>
        <w:t>Distribution performance evaluated across 4 active Region hubs.</w:t>
      </w:r>
    </w:p>
    <w:tbl>
      <w:tblPr>
        <w:tblW w:type="auto" w:w="0"/>
        <w:jc w:val="center"/>
        <w:tblLook w:firstColumn="1" w:firstRow="1" w:lastColumn="0" w:lastRow="0" w:noHBand="0" w:noVBand="1" w:val="04A0"/>
      </w:tblPr>
      <w:tblGrid>
        <w:gridCol w:w="2484"/>
        <w:gridCol w:w="2484"/>
        <w:gridCol w:w="2484"/>
        <w:gridCol w:w="2484"/>
      </w:tblGrid>
      <w:tr>
        <w:tc>
          <w:tcPr>
            <w:tcW w:type="dxa" w:w="2484"/>
            <w:shd w:fill="1E293B"/>
            <w:tcMar>
              <w:top w:w="140" w:type="dxa"/>
              <w:bottom w:w="140" w:type="dxa"/>
              <w:left w:w="140" w:type="dxa"/>
              <w:right w:w="140" w:type="dxa"/>
            </w:tcMar>
          </w:tcPr>
          <w:p>
            <w:pPr>
              <w:jc w:val="left"/>
            </w:pPr>
            <w:r>
              <w:rPr>
                <w:rFonts w:ascii="Calibri" w:hAnsi="Calibri"/>
                <w:b/>
                <w:color w:val="FFFFFF"/>
                <w:sz w:val="19"/>
              </w:rPr>
              <w:t>Region</w:t>
            </w:r>
          </w:p>
        </w:tc>
        <w:tc>
          <w:tcPr>
            <w:tcW w:type="dxa" w:w="2484"/>
            <w:shd w:fill="1E293B"/>
            <w:tcMar>
              <w:top w:w="140" w:type="dxa"/>
              <w:bottom w:w="140" w:type="dxa"/>
              <w:left w:w="140" w:type="dxa"/>
              <w:right w:w="140" w:type="dxa"/>
            </w:tcMar>
          </w:tcPr>
          <w:p>
            <w:pPr>
              <w:jc w:val="left"/>
            </w:pPr>
            <w:r>
              <w:rPr>
                <w:rFonts w:ascii="Calibri" w:hAnsi="Calibri"/>
                <w:b/>
                <w:color w:val="FFFFFF"/>
                <w:sz w:val="19"/>
              </w:rPr>
              <w:t>Revenue</w:t>
            </w:r>
          </w:p>
        </w:tc>
        <w:tc>
          <w:tcPr>
            <w:tcW w:type="dxa" w:w="2484"/>
            <w:shd w:fill="1E293B"/>
            <w:tcMar>
              <w:top w:w="140" w:type="dxa"/>
              <w:bottom w:w="140" w:type="dxa"/>
              <w:left w:w="140" w:type="dxa"/>
              <w:right w:w="140" w:type="dxa"/>
            </w:tcMar>
          </w:tcPr>
          <w:p>
            <w:pPr>
              <w:jc w:val="left"/>
            </w:pPr>
            <w:r>
              <w:rPr>
                <w:rFonts w:ascii="Calibri" w:hAnsi="Calibri"/>
                <w:b/>
                <w:color w:val="FFFFFF"/>
                <w:sz w:val="19"/>
              </w:rPr>
              <w:t>Share %</w:t>
            </w:r>
          </w:p>
        </w:tc>
        <w:tc>
          <w:tcPr>
            <w:tcW w:type="dxa" w:w="2484"/>
            <w:shd w:fill="1E293B"/>
            <w:tcMar>
              <w:top w:w="140" w:type="dxa"/>
              <w:bottom w:w="140" w:type="dxa"/>
              <w:left w:w="140" w:type="dxa"/>
              <w:right w:w="140" w:type="dxa"/>
            </w:tcMar>
          </w:tcPr>
          <w:p>
            <w:pPr>
              <w:jc w:val="left"/>
            </w:pPr>
            <w:r>
              <w:rPr>
                <w:rFonts w:ascii="Calibri" w:hAnsi="Calibri"/>
                <w:b/>
                <w:color w:val="FFFFFF"/>
                <w:sz w:val="19"/>
              </w:rPr>
              <w:t>Operational Observation</w:t>
            </w:r>
          </w:p>
        </w:tc>
      </w:tr>
      <w:tr>
        <w:tc>
          <w:tcPr>
            <w:tcW w:type="dxa" w:w="2484"/>
            <w:shd w:fill="F8FAFC"/>
            <w:tcMar>
              <w:top w:w="100" w:type="dxa"/>
              <w:bottom w:w="100" w:type="dxa"/>
              <w:left w:w="120" w:type="dxa"/>
              <w:right w:w="120" w:type="dxa"/>
            </w:tcMar>
          </w:tcPr>
          <w:p>
            <w:r>
              <w:rPr>
                <w:rFonts w:ascii="Calibri" w:hAnsi="Calibri"/>
                <w:sz w:val="18"/>
              </w:rPr>
              <w:t>North</w:t>
            </w:r>
          </w:p>
        </w:tc>
        <w:tc>
          <w:tcPr>
            <w:tcW w:type="dxa" w:w="2484"/>
            <w:shd w:fill="F8FAFC"/>
            <w:tcMar>
              <w:top w:w="100" w:type="dxa"/>
              <w:bottom w:w="100" w:type="dxa"/>
              <w:left w:w="120" w:type="dxa"/>
              <w:right w:w="120" w:type="dxa"/>
            </w:tcMar>
          </w:tcPr>
          <w:p>
            <w:r>
              <w:rPr>
                <w:rFonts w:ascii="Calibri" w:hAnsi="Calibri"/>
                <w:sz w:val="18"/>
              </w:rPr>
              <w:t>₹36.00K</w:t>
            </w:r>
          </w:p>
        </w:tc>
        <w:tc>
          <w:tcPr>
            <w:tcW w:type="dxa" w:w="2484"/>
            <w:shd w:fill="F8FAFC"/>
            <w:tcMar>
              <w:top w:w="100" w:type="dxa"/>
              <w:bottom w:w="100" w:type="dxa"/>
              <w:left w:w="120" w:type="dxa"/>
              <w:right w:w="120" w:type="dxa"/>
            </w:tcMar>
          </w:tcPr>
          <w:p>
            <w:r>
              <w:rPr>
                <w:rFonts w:ascii="Calibri" w:hAnsi="Calibri"/>
                <w:sz w:val="18"/>
              </w:rPr>
              <w:t>63.8%</w:t>
            </w:r>
          </w:p>
        </w:tc>
        <w:tc>
          <w:tcPr>
            <w:tcW w:type="dxa" w:w="2484"/>
            <w:shd w:fill="F8FAFC"/>
            <w:tcMar>
              <w:top w:w="100" w:type="dxa"/>
              <w:bottom w:w="100" w:type="dxa"/>
              <w:left w:w="120" w:type="dxa"/>
              <w:right w:w="120" w:type="dxa"/>
            </w:tcMar>
          </w:tcPr>
          <w:p>
            <w:r>
              <w:rPr>
                <w:rFonts w:ascii="Calibri" w:hAnsi="Calibri"/>
                <w:sz w:val="18"/>
              </w:rPr>
              <w:t>Region 'North' accounts for 63.8% of volume (30 transactions).</w:t>
            </w:r>
          </w:p>
        </w:tc>
      </w:tr>
      <w:tr>
        <w:tc>
          <w:tcPr>
            <w:tcW w:type="dxa" w:w="2484"/>
            <w:shd w:fill="FFFFFF"/>
            <w:tcMar>
              <w:top w:w="100" w:type="dxa"/>
              <w:bottom w:w="100" w:type="dxa"/>
              <w:left w:w="120" w:type="dxa"/>
              <w:right w:w="120" w:type="dxa"/>
            </w:tcMar>
          </w:tcPr>
          <w:p>
            <w:r>
              <w:rPr>
                <w:rFonts w:ascii="Calibri" w:hAnsi="Calibri"/>
                <w:sz w:val="18"/>
              </w:rPr>
              <w:t>South</w:t>
            </w:r>
          </w:p>
        </w:tc>
        <w:tc>
          <w:tcPr>
            <w:tcW w:type="dxa" w:w="2484"/>
            <w:shd w:fill="FFFFFF"/>
            <w:tcMar>
              <w:top w:w="100" w:type="dxa"/>
              <w:bottom w:w="100" w:type="dxa"/>
              <w:left w:w="120" w:type="dxa"/>
              <w:right w:w="120" w:type="dxa"/>
            </w:tcMar>
          </w:tcPr>
          <w:p>
            <w:r>
              <w:rPr>
                <w:rFonts w:ascii="Calibri" w:hAnsi="Calibri"/>
                <w:sz w:val="18"/>
              </w:rPr>
              <w:t>₹13.50K</w:t>
            </w:r>
          </w:p>
        </w:tc>
        <w:tc>
          <w:tcPr>
            <w:tcW w:type="dxa" w:w="2484"/>
            <w:shd w:fill="FFFFFF"/>
            <w:tcMar>
              <w:top w:w="100" w:type="dxa"/>
              <w:bottom w:w="100" w:type="dxa"/>
              <w:left w:w="120" w:type="dxa"/>
              <w:right w:w="120" w:type="dxa"/>
            </w:tcMar>
          </w:tcPr>
          <w:p>
            <w:r>
              <w:rPr>
                <w:rFonts w:ascii="Calibri" w:hAnsi="Calibri"/>
                <w:sz w:val="18"/>
              </w:rPr>
              <w:t>23.9%</w:t>
            </w:r>
          </w:p>
        </w:tc>
        <w:tc>
          <w:tcPr>
            <w:tcW w:type="dxa" w:w="2484"/>
            <w:shd w:fill="FFFFFF"/>
            <w:tcMar>
              <w:top w:w="100" w:type="dxa"/>
              <w:bottom w:w="100" w:type="dxa"/>
              <w:left w:w="120" w:type="dxa"/>
              <w:right w:w="120" w:type="dxa"/>
            </w:tcMar>
          </w:tcPr>
          <w:p>
            <w:r>
              <w:rPr>
                <w:rFonts w:ascii="Calibri" w:hAnsi="Calibri"/>
                <w:sz w:val="18"/>
              </w:rPr>
              <w:t>Region 'South' accounts for 23.9% of volume (30 transactions).</w:t>
            </w:r>
          </w:p>
        </w:tc>
      </w:tr>
      <w:tr>
        <w:tc>
          <w:tcPr>
            <w:tcW w:type="dxa" w:w="2484"/>
            <w:shd w:fill="F8FAFC"/>
            <w:tcMar>
              <w:top w:w="100" w:type="dxa"/>
              <w:bottom w:w="100" w:type="dxa"/>
              <w:left w:w="120" w:type="dxa"/>
              <w:right w:w="120" w:type="dxa"/>
            </w:tcMar>
          </w:tcPr>
          <w:p>
            <w:r>
              <w:rPr>
                <w:rFonts w:ascii="Calibri" w:hAnsi="Calibri"/>
                <w:sz w:val="18"/>
              </w:rPr>
              <w:t>East</w:t>
            </w:r>
          </w:p>
        </w:tc>
        <w:tc>
          <w:tcPr>
            <w:tcW w:type="dxa" w:w="2484"/>
            <w:shd w:fill="F8FAFC"/>
            <w:tcMar>
              <w:top w:w="100" w:type="dxa"/>
              <w:bottom w:w="100" w:type="dxa"/>
              <w:left w:w="120" w:type="dxa"/>
              <w:right w:w="120" w:type="dxa"/>
            </w:tcMar>
          </w:tcPr>
          <w:p>
            <w:r>
              <w:rPr>
                <w:rFonts w:ascii="Calibri" w:hAnsi="Calibri"/>
                <w:sz w:val="18"/>
              </w:rPr>
              <w:t>₹4.50K</w:t>
            </w:r>
          </w:p>
        </w:tc>
        <w:tc>
          <w:tcPr>
            <w:tcW w:type="dxa" w:w="2484"/>
            <w:shd w:fill="F8FAFC"/>
            <w:tcMar>
              <w:top w:w="100" w:type="dxa"/>
              <w:bottom w:w="100" w:type="dxa"/>
              <w:left w:w="120" w:type="dxa"/>
              <w:right w:w="120" w:type="dxa"/>
            </w:tcMar>
          </w:tcPr>
          <w:p>
            <w:r>
              <w:rPr>
                <w:rFonts w:ascii="Calibri" w:hAnsi="Calibri"/>
                <w:sz w:val="18"/>
              </w:rPr>
              <w:t>8.0%</w:t>
            </w:r>
          </w:p>
        </w:tc>
        <w:tc>
          <w:tcPr>
            <w:tcW w:type="dxa" w:w="2484"/>
            <w:shd w:fill="F8FAFC"/>
            <w:tcMar>
              <w:top w:w="100" w:type="dxa"/>
              <w:bottom w:w="100" w:type="dxa"/>
              <w:left w:w="120" w:type="dxa"/>
              <w:right w:w="120" w:type="dxa"/>
            </w:tcMar>
          </w:tcPr>
          <w:p>
            <w:r>
              <w:rPr>
                <w:rFonts w:ascii="Calibri" w:hAnsi="Calibri"/>
                <w:sz w:val="18"/>
              </w:rPr>
              <w:t>Region 'East' accounts for 8.0% of volume (30 transactions).</w:t>
            </w:r>
          </w:p>
        </w:tc>
      </w:tr>
      <w:tr>
        <w:tc>
          <w:tcPr>
            <w:tcW w:type="dxa" w:w="2484"/>
            <w:shd w:fill="FFFFFF"/>
            <w:tcMar>
              <w:top w:w="100" w:type="dxa"/>
              <w:bottom w:w="100" w:type="dxa"/>
              <w:left w:w="120" w:type="dxa"/>
              <w:right w:w="120" w:type="dxa"/>
            </w:tcMar>
          </w:tcPr>
          <w:p>
            <w:r>
              <w:rPr>
                <w:rFonts w:ascii="Calibri" w:hAnsi="Calibri"/>
                <w:sz w:val="18"/>
              </w:rPr>
              <w:t>West</w:t>
            </w:r>
          </w:p>
        </w:tc>
        <w:tc>
          <w:tcPr>
            <w:tcW w:type="dxa" w:w="2484"/>
            <w:shd w:fill="FFFFFF"/>
            <w:tcMar>
              <w:top w:w="100" w:type="dxa"/>
              <w:bottom w:w="100" w:type="dxa"/>
              <w:left w:w="120" w:type="dxa"/>
              <w:right w:w="120" w:type="dxa"/>
            </w:tcMar>
          </w:tcPr>
          <w:p>
            <w:r>
              <w:rPr>
                <w:rFonts w:ascii="Calibri" w:hAnsi="Calibri"/>
                <w:sz w:val="18"/>
              </w:rPr>
              <w:t>₹2.40K</w:t>
            </w:r>
          </w:p>
        </w:tc>
        <w:tc>
          <w:tcPr>
            <w:tcW w:type="dxa" w:w="2484"/>
            <w:shd w:fill="FFFFFF"/>
            <w:tcMar>
              <w:top w:w="100" w:type="dxa"/>
              <w:bottom w:w="100" w:type="dxa"/>
              <w:left w:w="120" w:type="dxa"/>
              <w:right w:w="120" w:type="dxa"/>
            </w:tcMar>
          </w:tcPr>
          <w:p>
            <w:r>
              <w:rPr>
                <w:rFonts w:ascii="Calibri" w:hAnsi="Calibri"/>
                <w:sz w:val="18"/>
              </w:rPr>
              <w:t>4.3%</w:t>
            </w:r>
          </w:p>
        </w:tc>
        <w:tc>
          <w:tcPr>
            <w:tcW w:type="dxa" w:w="2484"/>
            <w:shd w:fill="FFFFFF"/>
            <w:tcMar>
              <w:top w:w="100" w:type="dxa"/>
              <w:bottom w:w="100" w:type="dxa"/>
              <w:left w:w="120" w:type="dxa"/>
              <w:right w:w="120" w:type="dxa"/>
            </w:tcMar>
          </w:tcPr>
          <w:p>
            <w:r>
              <w:rPr>
                <w:rFonts w:ascii="Calibri" w:hAnsi="Calibri"/>
                <w:sz w:val="18"/>
              </w:rPr>
              <w:t>Region 'West' accounts for 4.3% of volume (30 transactions).</w:t>
            </w:r>
          </w:p>
        </w:tc>
      </w:tr>
    </w:tbl>
    <w:p>
      <w:pPr>
        <w:pStyle w:val="Heading1"/>
      </w:pPr>
      <w:r>
        <w:t>7. Discount &amp; Pricing Controls</w:t>
      </w:r>
    </w:p>
    <w:p>
      <w:pPr>
        <w:pStyle w:val="ListBullet"/>
      </w:pPr>
      <w:r>
        <w:rPr>
          <w:sz w:val="18"/>
        </w:rPr>
        <w:t>Discount distribution is within normal operating ranges.</w:t>
      </w:r>
    </w:p>
    <w:p>
      <w:pPr>
        <w:pStyle w:val="Heading2"/>
      </w:pPr>
      <w:r>
        <w:t>Suggested Discount Governance Rules</w:t>
      </w:r>
    </w:p>
    <w:p>
      <w:pPr>
        <w:pStyle w:val="ListBullet"/>
      </w:pPr>
      <w:r>
        <w:rPr>
          <w:sz w:val="18"/>
        </w:rPr>
        <w:t>Establish strict discount caps (max 20–25%) for product categories with gross margins under 15%.</w:t>
      </w:r>
    </w:p>
    <w:p>
      <w:pPr>
        <w:pStyle w:val="ListBullet"/>
      </w:pPr>
      <w:r>
        <w:rPr>
          <w:sz w:val="18"/>
        </w:rPr>
        <w:t>Require managerial sign-off for promotional reductions exceeding 30%.</w:t>
      </w:r>
    </w:p>
    <w:p>
      <w:pPr>
        <w:pStyle w:val="ListBullet"/>
      </w:pPr>
      <w:r>
        <w:rPr>
          <w:sz w:val="18"/>
        </w:rPr>
        <w:t>Monitor conversion rates and profit margin impact weekly following discount tier adjustments.</w:t>
      </w:r>
    </w:p>
    <w:p>
      <w:pPr>
        <w:pStyle w:val="Heading1"/>
      </w:pPr>
      <w:r>
        <w:t>8. Inventory &amp; Stock Analysis</w:t>
      </w:r>
    </w:p>
    <w:p>
      <w:r>
        <w:rPr>
          <w:i/>
          <w:sz w:val="19"/>
        </w:rPr>
        <w:t>Inventory analysis cannot be performed because stock-level and inventory movement data is not available.</w:t>
      </w:r>
    </w:p>
    <w:p>
      <w:pPr>
        <w:pStyle w:val="Heading1"/>
      </w:pPr>
      <w:r>
        <w:t>9. Root Cause Analysis</w:t>
      </w:r>
    </w:p>
    <w:p>
      <w:r>
        <w:t>Root cause investigation conducted across 1 primary operational finding(s).</w:t>
      </w:r>
    </w:p>
    <w:p>
      <w:pPr>
        <w:spacing w:before="120"/>
      </w:pPr>
      <w:r>
        <w:rPr>
          <w:b/>
          <w:sz w:val="20"/>
        </w:rPr>
        <w:t>Root Cause Investigation: Net Profit Loss in 'Chairs', 'Tables'</w:t>
      </w:r>
    </w:p>
    <w:p>
      <w:r>
        <w:t>• Confirmed Observation: Segment(s) 'Chairs', 'Tables' generated negative net margin despite commercial sales volume.</w:t>
      </w:r>
    </w:p>
    <w:p>
      <w:r>
        <w:t>• Contributing Factors: Excessive promotional discounting without price protection., High procurement cost (COGS) or unadjusted vendor price hikes., Elevated fulfillment or logistics expenses per unit.</w:t>
      </w:r>
    </w:p>
    <w:p>
      <w:r>
        <w:t>• Data Needed for Validation: Granular SKU-level unit procurement cost history., Shipping and warehouse fulfillment cost allocations., Vendor rebate and return rate logs.</w:t>
      </w:r>
    </w:p>
    <w:p>
      <w:r>
        <w:t>• Recommended Investigation: Audit pricing formulas and margin contributions before running next marketing promotion cycle.</w:t>
      </w:r>
    </w:p>
    <w:p>
      <w:pPr>
        <w:pStyle w:val="Heading1"/>
      </w:pPr>
      <w:r>
        <w:t>10. Business Risk &amp; Anomaly Register</w:t>
      </w:r>
    </w:p>
    <w:tbl>
      <w:tblPr>
        <w:tblW w:type="auto" w:w="0"/>
        <w:jc w:val="center"/>
        <w:tblLook w:firstColumn="1" w:firstRow="1" w:lastColumn="0" w:lastRow="0" w:noHBand="0" w:noVBand="1" w:val="04A0"/>
      </w:tblPr>
      <w:tblGrid>
        <w:gridCol w:w="2484"/>
        <w:gridCol w:w="2484"/>
        <w:gridCol w:w="2484"/>
        <w:gridCol w:w="2484"/>
      </w:tblGrid>
      <w:tr>
        <w:tc>
          <w:tcPr>
            <w:tcW w:type="dxa" w:w="2484"/>
            <w:shd w:fill="7F1D1D"/>
            <w:tcMar>
              <w:top w:w="140" w:type="dxa"/>
              <w:bottom w:w="140" w:type="dxa"/>
              <w:left w:w="140" w:type="dxa"/>
              <w:right w:w="140" w:type="dxa"/>
            </w:tcMar>
          </w:tcPr>
          <w:p>
            <w:pPr>
              <w:jc w:val="left"/>
            </w:pPr>
            <w:r>
              <w:rPr>
                <w:rFonts w:ascii="Calibri" w:hAnsi="Calibri"/>
                <w:b/>
                <w:color w:val="FFFFFF"/>
                <w:sz w:val="19"/>
              </w:rPr>
              <w:t>Risk Title</w:t>
            </w:r>
          </w:p>
        </w:tc>
        <w:tc>
          <w:tcPr>
            <w:tcW w:type="dxa" w:w="2484"/>
            <w:shd w:fill="7F1D1D"/>
            <w:tcMar>
              <w:top w:w="140" w:type="dxa"/>
              <w:bottom w:w="140" w:type="dxa"/>
              <w:left w:w="140" w:type="dxa"/>
              <w:right w:w="140" w:type="dxa"/>
            </w:tcMar>
          </w:tcPr>
          <w:p>
            <w:pPr>
              <w:jc w:val="left"/>
            </w:pPr>
            <w:r>
              <w:rPr>
                <w:rFonts w:ascii="Calibri" w:hAnsi="Calibri"/>
                <w:b/>
                <w:color w:val="FFFFFF"/>
                <w:sz w:val="19"/>
              </w:rPr>
              <w:t>Category</w:t>
            </w:r>
          </w:p>
        </w:tc>
        <w:tc>
          <w:tcPr>
            <w:tcW w:type="dxa" w:w="2484"/>
            <w:shd w:fill="7F1D1D"/>
            <w:tcMar>
              <w:top w:w="140" w:type="dxa"/>
              <w:bottom w:w="140" w:type="dxa"/>
              <w:left w:w="140" w:type="dxa"/>
              <w:right w:w="140" w:type="dxa"/>
            </w:tcMar>
          </w:tcPr>
          <w:p>
            <w:pPr>
              <w:jc w:val="left"/>
            </w:pPr>
            <w:r>
              <w:rPr>
                <w:rFonts w:ascii="Calibri" w:hAnsi="Calibri"/>
                <w:b/>
                <w:color w:val="FFFFFF"/>
                <w:sz w:val="19"/>
              </w:rPr>
              <w:t>Severity</w:t>
            </w:r>
          </w:p>
        </w:tc>
        <w:tc>
          <w:tcPr>
            <w:tcW w:type="dxa" w:w="2484"/>
            <w:shd w:fill="7F1D1D"/>
            <w:tcMar>
              <w:top w:w="140" w:type="dxa"/>
              <w:bottom w:w="140" w:type="dxa"/>
              <w:left w:w="140" w:type="dxa"/>
              <w:right w:w="140" w:type="dxa"/>
            </w:tcMar>
          </w:tcPr>
          <w:p>
            <w:pPr>
              <w:jc w:val="left"/>
            </w:pPr>
            <w:r>
              <w:rPr>
                <w:rFonts w:ascii="Calibri" w:hAnsi="Calibri"/>
                <w:b/>
                <w:color w:val="FFFFFF"/>
                <w:sz w:val="19"/>
              </w:rPr>
              <w:t>Business Impact &amp; Action</w:t>
            </w:r>
          </w:p>
        </w:tc>
      </w:tr>
      <w:tr>
        <w:tc>
          <w:tcPr>
            <w:tcW w:type="dxa" w:w="2484"/>
            <w:shd w:fill="FEF2F2"/>
            <w:tcMar>
              <w:top w:w="100" w:type="dxa"/>
              <w:bottom w:w="100" w:type="dxa"/>
              <w:left w:w="120" w:type="dxa"/>
              <w:right w:w="120" w:type="dxa"/>
            </w:tcMar>
          </w:tcPr>
          <w:p>
            <w:r>
              <w:rPr>
                <w:rFonts w:ascii="Calibri" w:hAnsi="Calibri"/>
                <w:sz w:val="18"/>
              </w:rPr>
              <w:t>High concentration in Customer Segment: Corporate</w:t>
            </w:r>
          </w:p>
        </w:tc>
        <w:tc>
          <w:tcPr>
            <w:tcW w:type="dxa" w:w="2484"/>
            <w:shd w:fill="FEF2F2"/>
            <w:tcMar>
              <w:top w:w="100" w:type="dxa"/>
              <w:bottom w:w="100" w:type="dxa"/>
              <w:left w:w="120" w:type="dxa"/>
              <w:right w:w="120" w:type="dxa"/>
            </w:tcMar>
          </w:tcPr>
          <w:p>
            <w:r>
              <w:rPr>
                <w:rFonts w:ascii="Calibri" w:hAnsi="Calibri"/>
                <w:sz w:val="18"/>
              </w:rPr>
              <w:t>Operational Risk</w:t>
            </w:r>
          </w:p>
        </w:tc>
        <w:tc>
          <w:tcPr>
            <w:tcW w:type="dxa" w:w="2484"/>
            <w:shd w:fill="FEF2F2"/>
            <w:tcMar>
              <w:top w:w="100" w:type="dxa"/>
              <w:bottom w:w="100" w:type="dxa"/>
              <w:left w:w="120" w:type="dxa"/>
              <w:right w:w="120" w:type="dxa"/>
            </w:tcMar>
          </w:tcPr>
          <w:p>
            <w:r>
              <w:rPr>
                <w:rFonts w:ascii="Calibri" w:hAnsi="Calibri"/>
                <w:sz w:val="18"/>
              </w:rPr>
              <w:t>MEDIUM</w:t>
            </w:r>
          </w:p>
        </w:tc>
        <w:tc>
          <w:tcPr>
            <w:tcW w:type="dxa" w:w="2484"/>
            <w:shd w:fill="FEF2F2"/>
            <w:tcMar>
              <w:top w:w="100" w:type="dxa"/>
              <w:bottom w:w="100" w:type="dxa"/>
              <w:left w:w="120" w:type="dxa"/>
              <w:right w:w="120" w:type="dxa"/>
            </w:tcMar>
          </w:tcPr>
          <w:p>
            <w:r>
              <w:rPr>
                <w:rFonts w:ascii="Calibri" w:hAnsi="Calibri"/>
                <w:sz w:val="18"/>
              </w:rPr>
              <w:t>High reliance on a single entity creates operational vulnerability if their activity changes. Action: Assess diversification options to balance operational dependency on 'Corporate'.</w:t>
            </w:r>
          </w:p>
        </w:tc>
      </w:tr>
      <w:tr>
        <w:tc>
          <w:tcPr>
            <w:tcW w:type="dxa" w:w="2484"/>
            <w:shd w:fill="FFFFFF"/>
            <w:tcMar>
              <w:top w:w="100" w:type="dxa"/>
              <w:bottom w:w="100" w:type="dxa"/>
              <w:left w:w="120" w:type="dxa"/>
              <w:right w:w="120" w:type="dxa"/>
            </w:tcMar>
          </w:tcPr>
          <w:p>
            <w:r>
              <w:rPr>
                <w:rFonts w:ascii="Calibri" w:hAnsi="Calibri"/>
                <w:sz w:val="18"/>
              </w:rPr>
              <w:t>Operating losses observed in 'Profit'</w:t>
            </w:r>
          </w:p>
        </w:tc>
        <w:tc>
          <w:tcPr>
            <w:tcW w:type="dxa" w:w="2484"/>
            <w:shd w:fill="FFFFFF"/>
            <w:tcMar>
              <w:top w:w="100" w:type="dxa"/>
              <w:bottom w:w="100" w:type="dxa"/>
              <w:left w:w="120" w:type="dxa"/>
              <w:right w:w="120" w:type="dxa"/>
            </w:tcMar>
          </w:tcPr>
          <w:p>
            <w:r>
              <w:rPr>
                <w:rFonts w:ascii="Calibri" w:hAnsi="Calibri"/>
                <w:sz w:val="18"/>
              </w:rPr>
              <w:t>Financial Risk</w:t>
            </w:r>
          </w:p>
        </w:tc>
        <w:tc>
          <w:tcPr>
            <w:tcW w:type="dxa" w:w="2484"/>
            <w:shd w:fill="FFFFFF"/>
            <w:tcMar>
              <w:top w:w="100" w:type="dxa"/>
              <w:bottom w:w="100" w:type="dxa"/>
              <w:left w:w="120" w:type="dxa"/>
              <w:right w:w="120" w:type="dxa"/>
            </w:tcMar>
          </w:tcPr>
          <w:p>
            <w:r>
              <w:rPr>
                <w:rFonts w:ascii="Calibri" w:hAnsi="Calibri"/>
                <w:sz w:val="18"/>
              </w:rPr>
              <w:t>MEDIUM</w:t>
            </w:r>
          </w:p>
        </w:tc>
        <w:tc>
          <w:tcPr>
            <w:tcW w:type="dxa" w:w="2484"/>
            <w:shd w:fill="FFFFFF"/>
            <w:tcMar>
              <w:top w:w="100" w:type="dxa"/>
              <w:bottom w:w="100" w:type="dxa"/>
              <w:left w:w="120" w:type="dxa"/>
              <w:right w:w="120" w:type="dxa"/>
            </w:tcMar>
          </w:tcPr>
          <w:p>
            <w:r>
              <w:rPr>
                <w:rFonts w:ascii="Calibri" w:hAnsi="Calibri"/>
                <w:sz w:val="18"/>
              </w:rPr>
              <w:t>Negative margins erode profitability and may indicate underpriced products or excessive discounts. Action: Review unprofitable transactions in 'Profit' to pinpoint margin leaks.</w:t>
            </w:r>
          </w:p>
        </w:tc>
      </w:tr>
      <w:tr>
        <w:tc>
          <w:tcPr>
            <w:tcW w:type="dxa" w:w="2484"/>
            <w:shd w:fill="FEF2F2"/>
            <w:tcMar>
              <w:top w:w="100" w:type="dxa"/>
              <w:bottom w:w="100" w:type="dxa"/>
              <w:left w:w="120" w:type="dxa"/>
              <w:right w:w="120" w:type="dxa"/>
            </w:tcMar>
          </w:tcPr>
          <w:p>
            <w:r>
              <w:rPr>
                <w:rFonts w:ascii="Calibri" w:hAnsi="Calibri"/>
                <w:sz w:val="18"/>
              </w:rPr>
              <w:t>Sales Revenue decreased compared with the previous period</w:t>
            </w:r>
          </w:p>
        </w:tc>
        <w:tc>
          <w:tcPr>
            <w:tcW w:type="dxa" w:w="2484"/>
            <w:shd w:fill="FEF2F2"/>
            <w:tcMar>
              <w:top w:w="100" w:type="dxa"/>
              <w:bottom w:w="100" w:type="dxa"/>
              <w:left w:w="120" w:type="dxa"/>
              <w:right w:w="120" w:type="dxa"/>
            </w:tcMar>
          </w:tcPr>
          <w:p>
            <w:r>
              <w:rPr>
                <w:rFonts w:ascii="Calibri" w:hAnsi="Calibri"/>
                <w:sz w:val="18"/>
              </w:rPr>
              <w:t>Revenue/Profit Risk</w:t>
            </w:r>
          </w:p>
        </w:tc>
        <w:tc>
          <w:tcPr>
            <w:tcW w:type="dxa" w:w="2484"/>
            <w:shd w:fill="FEF2F2"/>
            <w:tcMar>
              <w:top w:w="100" w:type="dxa"/>
              <w:bottom w:w="100" w:type="dxa"/>
              <w:left w:w="120" w:type="dxa"/>
              <w:right w:w="120" w:type="dxa"/>
            </w:tcMar>
          </w:tcPr>
          <w:p>
            <w:r>
              <w:rPr>
                <w:rFonts w:ascii="Calibri" w:hAnsi="Calibri"/>
                <w:sz w:val="18"/>
              </w:rPr>
              <w:t>MEDIUM</w:t>
            </w:r>
          </w:p>
        </w:tc>
        <w:tc>
          <w:tcPr>
            <w:tcW w:type="dxa" w:w="2484"/>
            <w:shd w:fill="FEF2F2"/>
            <w:tcMar>
              <w:top w:w="100" w:type="dxa"/>
              <w:bottom w:w="100" w:type="dxa"/>
              <w:left w:w="120" w:type="dxa"/>
              <w:right w:w="120" w:type="dxa"/>
            </w:tcMar>
          </w:tcPr>
          <w:p>
            <w:r>
              <w:rPr>
                <w:rFonts w:ascii="Calibri" w:hAnsi="Calibri"/>
                <w:sz w:val="18"/>
              </w:rPr>
              <w:t>Both revenue and profit experienced concurrent decreases in this period, signaling combined top-line contraction. Continued declines in 'Sales Revenue' directly reduce available operating funds. Action: Investigate the underlying product categories, client segments, or regions contributing to the decline in 'Sales Revenue'.</w:t>
            </w:r>
          </w:p>
        </w:tc>
      </w:tr>
      <w:tr>
        <w:tc>
          <w:tcPr>
            <w:tcW w:type="dxa" w:w="2484"/>
            <w:shd w:fill="FFFFFF"/>
            <w:tcMar>
              <w:top w:w="100" w:type="dxa"/>
              <w:bottom w:w="100" w:type="dxa"/>
              <w:left w:w="120" w:type="dxa"/>
              <w:right w:w="120" w:type="dxa"/>
            </w:tcMar>
          </w:tcPr>
          <w:p>
            <w:r>
              <w:rPr>
                <w:rFonts w:ascii="Calibri" w:hAnsi="Calibri"/>
                <w:sz w:val="18"/>
              </w:rPr>
              <w:t>Profit decreased compared with the previous period</w:t>
            </w:r>
          </w:p>
        </w:tc>
        <w:tc>
          <w:tcPr>
            <w:tcW w:type="dxa" w:w="2484"/>
            <w:shd w:fill="FFFFFF"/>
            <w:tcMar>
              <w:top w:w="100" w:type="dxa"/>
              <w:bottom w:w="100" w:type="dxa"/>
              <w:left w:w="120" w:type="dxa"/>
              <w:right w:w="120" w:type="dxa"/>
            </w:tcMar>
          </w:tcPr>
          <w:p>
            <w:r>
              <w:rPr>
                <w:rFonts w:ascii="Calibri" w:hAnsi="Calibri"/>
                <w:sz w:val="18"/>
              </w:rPr>
              <w:t>Revenue/Profit Risk</w:t>
            </w:r>
          </w:p>
        </w:tc>
        <w:tc>
          <w:tcPr>
            <w:tcW w:type="dxa" w:w="2484"/>
            <w:shd w:fill="FFFFFF"/>
            <w:tcMar>
              <w:top w:w="100" w:type="dxa"/>
              <w:bottom w:w="100" w:type="dxa"/>
              <w:left w:w="120" w:type="dxa"/>
              <w:right w:w="120" w:type="dxa"/>
            </w:tcMar>
          </w:tcPr>
          <w:p>
            <w:r>
              <w:rPr>
                <w:rFonts w:ascii="Calibri" w:hAnsi="Calibri"/>
                <w:sz w:val="18"/>
              </w:rPr>
              <w:t>MEDIUM</w:t>
            </w:r>
          </w:p>
        </w:tc>
        <w:tc>
          <w:tcPr>
            <w:tcW w:type="dxa" w:w="2484"/>
            <w:shd w:fill="FFFFFF"/>
            <w:tcMar>
              <w:top w:w="100" w:type="dxa"/>
              <w:bottom w:w="100" w:type="dxa"/>
              <w:left w:w="120" w:type="dxa"/>
              <w:right w:w="120" w:type="dxa"/>
            </w:tcMar>
          </w:tcPr>
          <w:p>
            <w:r>
              <w:rPr>
                <w:rFonts w:ascii="Calibri" w:hAnsi="Calibri"/>
                <w:sz w:val="18"/>
              </w:rPr>
              <w:t>Both revenue and profit experienced concurrent decreases in this period, signaling combined top-line contraction. Continued declines in 'Profit' directly reduce available operating funds. Action: Investigate the underlying product categories, client segments, or regions contributing to the decline in 'Profit'.</w:t>
            </w:r>
          </w:p>
        </w:tc>
      </w:tr>
      <w:tr>
        <w:tc>
          <w:tcPr>
            <w:tcW w:type="dxa" w:w="2484"/>
            <w:shd w:fill="FEF2F2"/>
            <w:tcMar>
              <w:top w:w="100" w:type="dxa"/>
              <w:bottom w:w="100" w:type="dxa"/>
              <w:left w:w="120" w:type="dxa"/>
              <w:right w:w="120" w:type="dxa"/>
            </w:tcMar>
          </w:tcPr>
          <w:p>
            <w:r>
              <w:rPr>
                <w:rFonts w:ascii="Calibri" w:hAnsi="Calibri"/>
                <w:sz w:val="18"/>
              </w:rPr>
              <w:t>Units Sold decreased compared with the previous period</w:t>
            </w:r>
          </w:p>
        </w:tc>
        <w:tc>
          <w:tcPr>
            <w:tcW w:type="dxa" w:w="2484"/>
            <w:shd w:fill="FEF2F2"/>
            <w:tcMar>
              <w:top w:w="100" w:type="dxa"/>
              <w:bottom w:w="100" w:type="dxa"/>
              <w:left w:w="120" w:type="dxa"/>
              <w:right w:w="120" w:type="dxa"/>
            </w:tcMar>
          </w:tcPr>
          <w:p>
            <w:r>
              <w:rPr>
                <w:rFonts w:ascii="Calibri" w:hAnsi="Calibri"/>
                <w:sz w:val="18"/>
              </w:rPr>
              <w:t>Performance Decline</w:t>
            </w:r>
          </w:p>
        </w:tc>
        <w:tc>
          <w:tcPr>
            <w:tcW w:type="dxa" w:w="2484"/>
            <w:shd w:fill="FEF2F2"/>
            <w:tcMar>
              <w:top w:w="100" w:type="dxa"/>
              <w:bottom w:w="100" w:type="dxa"/>
              <w:left w:w="120" w:type="dxa"/>
              <w:right w:w="120" w:type="dxa"/>
            </w:tcMar>
          </w:tcPr>
          <w:p>
            <w:r>
              <w:rPr>
                <w:rFonts w:ascii="Calibri" w:hAnsi="Calibri"/>
                <w:sz w:val="18"/>
              </w:rPr>
              <w:t>MEDIUM</w:t>
            </w:r>
          </w:p>
        </w:tc>
        <w:tc>
          <w:tcPr>
            <w:tcW w:type="dxa" w:w="2484"/>
            <w:shd w:fill="FEF2F2"/>
            <w:tcMar>
              <w:top w:w="100" w:type="dxa"/>
              <w:bottom w:w="100" w:type="dxa"/>
              <w:left w:w="120" w:type="dxa"/>
              <w:right w:w="120" w:type="dxa"/>
            </w:tcMar>
          </w:tcPr>
          <w:p>
            <w:r>
              <w:rPr>
                <w:rFonts w:ascii="Calibri" w:hAnsi="Calibri"/>
                <w:sz w:val="18"/>
              </w:rPr>
              <w:t>Continued declines in 'Units Sold' may impact overall operational throughput and performance goals. Action: Investigate the underlying product categories, client segments, or regions contributing to the decline in 'Units Sold'.</w:t>
            </w:r>
          </w:p>
        </w:tc>
      </w:tr>
    </w:tbl>
    <w:p>
      <w:pPr>
        <w:pStyle w:val="Heading1"/>
      </w:pPr>
      <w:r>
        <w:t>11. Market Competition Analysis</w:t>
      </w:r>
    </w:p>
    <w:p>
      <w:r>
        <w:rPr>
          <w:i/>
          <w:sz w:val="19"/>
        </w:rPr>
        <w:t>Your current dataset contains internal transaction data, but no verified competitor or market benchmark data. Upload a market benchmark dataset containing competitor entities and comparable metrics to enable this analysis.</w:t>
      </w:r>
    </w:p>
    <w:p>
      <w:pPr>
        <w:spacing w:before="80"/>
      </w:pPr>
      <w:r>
        <w:rPr>
          <w:color w:val="64748B"/>
          <w:sz w:val="17"/>
        </w:rPr>
        <w:t>Required external data fields for competitor benchmarking: Competitor Name, Sector, Period, Competitor Revenue, Margin %, Growth Rate, and Pricing Index.</w:t>
      </w:r>
    </w:p>
    <w:p>
      <w:pPr>
        <w:pStyle w:val="Heading1"/>
      </w:pPr>
      <w:r>
        <w:t>12. Trends &amp; Forecasting Projections</w:t>
      </w:r>
    </w:p>
    <w:p>
      <w:r>
        <w:t>Weekly Sales Revenue decreased from 3,680.00 in 2024-04-22 to 80.00 in 2024-04-29, a decrease of 3,600.00 (97.8%). Revenue Decline Warning: Weekly revenue decreased by 97.8%. This indicates a top-line sales contraction (lower sales volume/turnover) rather than a net margin deficit. Across all 18 observed periods, the all-time peak of 3,680.00 was recorded in 2024-01-01.</w:t>
      </w:r>
    </w:p>
    <w:p>
      <w:pPr>
        <w:pStyle w:val="Heading2"/>
      </w:pPr>
      <w:r>
        <w:t>Forecast Projections (Sales)</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140" w:type="dxa"/>
              <w:bottom w:w="140" w:type="dxa"/>
              <w:left w:w="140" w:type="dxa"/>
              <w:right w:w="140" w:type="dxa"/>
            </w:tcMar>
          </w:tcPr>
          <w:p>
            <w:pPr>
              <w:jc w:val="left"/>
            </w:pPr>
            <w:r>
              <w:rPr>
                <w:rFonts w:ascii="Calibri" w:hAnsi="Calibri"/>
                <w:b/>
                <w:color w:val="FFFFFF"/>
                <w:sz w:val="19"/>
              </w:rPr>
              <w:t>Horizon Period</w:t>
            </w:r>
          </w:p>
        </w:tc>
        <w:tc>
          <w:tcPr>
            <w:tcW w:type="dxa" w:w="2484"/>
            <w:shd w:fill="1E3A8A"/>
            <w:tcMar>
              <w:top w:w="140" w:type="dxa"/>
              <w:bottom w:w="140" w:type="dxa"/>
              <w:left w:w="140" w:type="dxa"/>
              <w:right w:w="140" w:type="dxa"/>
            </w:tcMar>
          </w:tcPr>
          <w:p>
            <w:pPr>
              <w:jc w:val="left"/>
            </w:pPr>
            <w:r>
              <w:rPr>
                <w:rFonts w:ascii="Calibri" w:hAnsi="Calibri"/>
                <w:b/>
                <w:color w:val="FFFFFF"/>
                <w:sz w:val="19"/>
              </w:rPr>
              <w:t>Projected Value</w:t>
            </w:r>
          </w:p>
        </w:tc>
        <w:tc>
          <w:tcPr>
            <w:tcW w:type="dxa" w:w="2484"/>
            <w:shd w:fill="1E3A8A"/>
            <w:tcMar>
              <w:top w:w="140" w:type="dxa"/>
              <w:bottom w:w="140" w:type="dxa"/>
              <w:left w:w="140" w:type="dxa"/>
              <w:right w:w="140" w:type="dxa"/>
            </w:tcMar>
          </w:tcPr>
          <w:p>
            <w:pPr>
              <w:jc w:val="left"/>
            </w:pPr>
            <w:r>
              <w:rPr>
                <w:rFonts w:ascii="Calibri" w:hAnsi="Calibri"/>
                <w:b/>
                <w:color w:val="FFFFFF"/>
                <w:sz w:val="19"/>
              </w:rPr>
              <w:t>80% Confidence Band</w:t>
            </w:r>
          </w:p>
        </w:tc>
        <w:tc>
          <w:tcPr>
            <w:tcW w:type="dxa" w:w="2484"/>
            <w:shd w:fill="1E3A8A"/>
            <w:tcMar>
              <w:top w:w="140" w:type="dxa"/>
              <w:bottom w:w="140" w:type="dxa"/>
              <w:left w:w="140" w:type="dxa"/>
              <w:right w:w="140" w:type="dxa"/>
            </w:tcMar>
          </w:tcPr>
          <w:p>
            <w:pPr>
              <w:jc w:val="left"/>
            </w:pPr>
            <w:r>
              <w:rPr>
                <w:rFonts w:ascii="Calibri" w:hAnsi="Calibri"/>
                <w:b/>
                <w:color w:val="FFFFFF"/>
                <w:sz w:val="19"/>
              </w:rPr>
              <w:t>95% Confidence Band</w:t>
            </w:r>
          </w:p>
        </w:tc>
      </w:tr>
      <w:tr>
        <w:tc>
          <w:tcPr>
            <w:tcW w:type="dxa" w:w="2484"/>
            <w:shd w:fill="EFF6FF"/>
            <w:tcMar>
              <w:top w:w="100" w:type="dxa"/>
              <w:bottom w:w="100" w:type="dxa"/>
              <w:left w:w="120" w:type="dxa"/>
              <w:right w:w="120" w:type="dxa"/>
            </w:tcMar>
          </w:tcPr>
          <w:p>
            <w:r>
              <w:rPr>
                <w:rFonts w:ascii="Calibri" w:hAnsi="Calibri"/>
                <w:sz w:val="18"/>
              </w:rPr>
              <w:t>2024-05-06</w:t>
            </w:r>
          </w:p>
        </w:tc>
        <w:tc>
          <w:tcPr>
            <w:tcW w:type="dxa" w:w="2484"/>
            <w:shd w:fill="EFF6FF"/>
            <w:tcMar>
              <w:top w:w="100" w:type="dxa"/>
              <w:bottom w:w="100" w:type="dxa"/>
              <w:left w:w="120" w:type="dxa"/>
              <w:right w:w="120" w:type="dxa"/>
            </w:tcMar>
          </w:tcPr>
          <w:p>
            <w:r>
              <w:rPr>
                <w:rFonts w:ascii="Calibri" w:hAnsi="Calibri"/>
                <w:sz w:val="18"/>
              </w:rPr>
              <w:t>₹2.51K</w:t>
            </w:r>
          </w:p>
        </w:tc>
        <w:tc>
          <w:tcPr>
            <w:tcW w:type="dxa" w:w="2484"/>
            <w:shd w:fill="EFF6FF"/>
            <w:tcMar>
              <w:top w:w="100" w:type="dxa"/>
              <w:bottom w:w="100" w:type="dxa"/>
              <w:left w:w="120" w:type="dxa"/>
              <w:right w:w="120" w:type="dxa"/>
            </w:tcMar>
          </w:tcPr>
          <w:p>
            <w:r>
              <w:rPr>
                <w:rFonts w:ascii="Calibri" w:hAnsi="Calibri"/>
                <w:sz w:val="18"/>
              </w:rPr>
              <w:t>1.51K to 3.52K</w:t>
            </w:r>
          </w:p>
        </w:tc>
        <w:tc>
          <w:tcPr>
            <w:tcW w:type="dxa" w:w="2484"/>
            <w:shd w:fill="EFF6FF"/>
            <w:tcMar>
              <w:top w:w="100" w:type="dxa"/>
              <w:bottom w:w="100" w:type="dxa"/>
              <w:left w:w="120" w:type="dxa"/>
              <w:right w:w="120" w:type="dxa"/>
            </w:tcMar>
          </w:tcPr>
          <w:p>
            <w:r>
              <w:rPr>
                <w:rFonts w:ascii="Calibri" w:hAnsi="Calibri"/>
                <w:sz w:val="18"/>
              </w:rPr>
              <w:t>973.4 to 4.05K</w:t>
            </w:r>
          </w:p>
        </w:tc>
      </w:tr>
      <w:tr>
        <w:tc>
          <w:tcPr>
            <w:tcW w:type="dxa" w:w="2484"/>
            <w:shd w:fill="FFFFFF"/>
            <w:tcMar>
              <w:top w:w="100" w:type="dxa"/>
              <w:bottom w:w="100" w:type="dxa"/>
              <w:left w:w="120" w:type="dxa"/>
              <w:right w:w="120" w:type="dxa"/>
            </w:tcMar>
          </w:tcPr>
          <w:p>
            <w:r>
              <w:rPr>
                <w:rFonts w:ascii="Calibri" w:hAnsi="Calibri"/>
                <w:sz w:val="18"/>
              </w:rPr>
              <w:t>2024-05-13</w:t>
            </w:r>
          </w:p>
        </w:tc>
        <w:tc>
          <w:tcPr>
            <w:tcW w:type="dxa" w:w="2484"/>
            <w:shd w:fill="FFFFFF"/>
            <w:tcMar>
              <w:top w:w="100" w:type="dxa"/>
              <w:bottom w:w="100" w:type="dxa"/>
              <w:left w:w="120" w:type="dxa"/>
              <w:right w:w="120" w:type="dxa"/>
            </w:tcMar>
          </w:tcPr>
          <w:p>
            <w:r>
              <w:rPr>
                <w:rFonts w:ascii="Calibri" w:hAnsi="Calibri"/>
                <w:sz w:val="18"/>
              </w:rPr>
              <w:t>₹2.45K</w:t>
            </w:r>
          </w:p>
        </w:tc>
        <w:tc>
          <w:tcPr>
            <w:tcW w:type="dxa" w:w="2484"/>
            <w:shd w:fill="FFFFFF"/>
            <w:tcMar>
              <w:top w:w="100" w:type="dxa"/>
              <w:bottom w:w="100" w:type="dxa"/>
              <w:left w:w="120" w:type="dxa"/>
              <w:right w:w="120" w:type="dxa"/>
            </w:tcMar>
          </w:tcPr>
          <w:p>
            <w:r>
              <w:rPr>
                <w:rFonts w:ascii="Calibri" w:hAnsi="Calibri"/>
                <w:sz w:val="18"/>
              </w:rPr>
              <w:t>1.03K to 3.87K</w:t>
            </w:r>
          </w:p>
        </w:tc>
        <w:tc>
          <w:tcPr>
            <w:tcW w:type="dxa" w:w="2484"/>
            <w:shd w:fill="FFFFFF"/>
            <w:tcMar>
              <w:top w:w="100" w:type="dxa"/>
              <w:bottom w:w="100" w:type="dxa"/>
              <w:left w:w="120" w:type="dxa"/>
              <w:right w:w="120" w:type="dxa"/>
            </w:tcMar>
          </w:tcPr>
          <w:p>
            <w:r>
              <w:rPr>
                <w:rFonts w:ascii="Calibri" w:hAnsi="Calibri"/>
                <w:sz w:val="18"/>
              </w:rPr>
              <w:t>270.7 to 4.62K</w:t>
            </w:r>
          </w:p>
        </w:tc>
      </w:tr>
      <w:tr>
        <w:tc>
          <w:tcPr>
            <w:tcW w:type="dxa" w:w="2484"/>
            <w:shd w:fill="EFF6FF"/>
            <w:tcMar>
              <w:top w:w="100" w:type="dxa"/>
              <w:bottom w:w="100" w:type="dxa"/>
              <w:left w:w="120" w:type="dxa"/>
              <w:right w:w="120" w:type="dxa"/>
            </w:tcMar>
          </w:tcPr>
          <w:p>
            <w:r>
              <w:rPr>
                <w:rFonts w:ascii="Calibri" w:hAnsi="Calibri"/>
                <w:sz w:val="18"/>
              </w:rPr>
              <w:t>2024-05-20</w:t>
            </w:r>
          </w:p>
        </w:tc>
        <w:tc>
          <w:tcPr>
            <w:tcW w:type="dxa" w:w="2484"/>
            <w:shd w:fill="EFF6FF"/>
            <w:tcMar>
              <w:top w:w="100" w:type="dxa"/>
              <w:bottom w:w="100" w:type="dxa"/>
              <w:left w:w="120" w:type="dxa"/>
              <w:right w:w="120" w:type="dxa"/>
            </w:tcMar>
          </w:tcPr>
          <w:p>
            <w:r>
              <w:rPr>
                <w:rFonts w:ascii="Calibri" w:hAnsi="Calibri"/>
                <w:sz w:val="18"/>
              </w:rPr>
              <w:t>₹2.38K</w:t>
            </w:r>
          </w:p>
        </w:tc>
        <w:tc>
          <w:tcPr>
            <w:tcW w:type="dxa" w:w="2484"/>
            <w:shd w:fill="EFF6FF"/>
            <w:tcMar>
              <w:top w:w="100" w:type="dxa"/>
              <w:bottom w:w="100" w:type="dxa"/>
              <w:left w:w="120" w:type="dxa"/>
              <w:right w:w="120" w:type="dxa"/>
            </w:tcMar>
          </w:tcPr>
          <w:p>
            <w:r>
              <w:rPr>
                <w:rFonts w:ascii="Calibri" w:hAnsi="Calibri"/>
                <w:sz w:val="18"/>
              </w:rPr>
              <w:t>640.9 to 4.12K</w:t>
            </w:r>
          </w:p>
        </w:tc>
        <w:tc>
          <w:tcPr>
            <w:tcW w:type="dxa" w:w="2484"/>
            <w:shd w:fill="EFF6FF"/>
            <w:tcMar>
              <w:top w:w="100" w:type="dxa"/>
              <w:bottom w:w="100" w:type="dxa"/>
              <w:left w:w="120" w:type="dxa"/>
              <w:right w:w="120" w:type="dxa"/>
            </w:tcMar>
          </w:tcPr>
          <w:p>
            <w:r>
              <w:rPr>
                <w:rFonts w:ascii="Calibri" w:hAnsi="Calibri"/>
                <w:sz w:val="18"/>
              </w:rPr>
              <w:t>0 to 5.05K</w:t>
            </w:r>
          </w:p>
        </w:tc>
      </w:tr>
      <w:tr>
        <w:tc>
          <w:tcPr>
            <w:tcW w:type="dxa" w:w="2484"/>
            <w:shd w:fill="FFFFFF"/>
            <w:tcMar>
              <w:top w:w="100" w:type="dxa"/>
              <w:bottom w:w="100" w:type="dxa"/>
              <w:left w:w="120" w:type="dxa"/>
              <w:right w:w="120" w:type="dxa"/>
            </w:tcMar>
          </w:tcPr>
          <w:p>
            <w:r>
              <w:rPr>
                <w:rFonts w:ascii="Calibri" w:hAnsi="Calibri"/>
                <w:sz w:val="18"/>
              </w:rPr>
              <w:t>2024-05-27</w:t>
            </w:r>
          </w:p>
        </w:tc>
        <w:tc>
          <w:tcPr>
            <w:tcW w:type="dxa" w:w="2484"/>
            <w:shd w:fill="FFFFFF"/>
            <w:tcMar>
              <w:top w:w="100" w:type="dxa"/>
              <w:bottom w:w="100" w:type="dxa"/>
              <w:left w:w="120" w:type="dxa"/>
              <w:right w:w="120" w:type="dxa"/>
            </w:tcMar>
          </w:tcPr>
          <w:p>
            <w:r>
              <w:rPr>
                <w:rFonts w:ascii="Calibri" w:hAnsi="Calibri"/>
                <w:sz w:val="18"/>
              </w:rPr>
              <w:t>₹2.32K</w:t>
            </w:r>
          </w:p>
        </w:tc>
        <w:tc>
          <w:tcPr>
            <w:tcW w:type="dxa" w:w="2484"/>
            <w:shd w:fill="FFFFFF"/>
            <w:tcMar>
              <w:top w:w="100" w:type="dxa"/>
              <w:bottom w:w="100" w:type="dxa"/>
              <w:left w:w="120" w:type="dxa"/>
              <w:right w:w="120" w:type="dxa"/>
            </w:tcMar>
          </w:tcPr>
          <w:p>
            <w:r>
              <w:rPr>
                <w:rFonts w:ascii="Calibri" w:hAnsi="Calibri"/>
                <w:sz w:val="18"/>
              </w:rPr>
              <w:t>306.2 to 4.33K</w:t>
            </w:r>
          </w:p>
        </w:tc>
        <w:tc>
          <w:tcPr>
            <w:tcW w:type="dxa" w:w="2484"/>
            <w:shd w:fill="FFFFFF"/>
            <w:tcMar>
              <w:top w:w="100" w:type="dxa"/>
              <w:bottom w:w="100" w:type="dxa"/>
              <w:left w:w="120" w:type="dxa"/>
              <w:right w:w="120" w:type="dxa"/>
            </w:tcMar>
          </w:tcPr>
          <w:p>
            <w:r>
              <w:rPr>
                <w:rFonts w:ascii="Calibri" w:hAnsi="Calibri"/>
                <w:sz w:val="18"/>
              </w:rPr>
              <w:t>0 to 5.39K</w:t>
            </w:r>
          </w:p>
        </w:tc>
      </w:tr>
      <w:tr>
        <w:tc>
          <w:tcPr>
            <w:tcW w:type="dxa" w:w="2484"/>
            <w:shd w:fill="EFF6FF"/>
            <w:tcMar>
              <w:top w:w="100" w:type="dxa"/>
              <w:bottom w:w="100" w:type="dxa"/>
              <w:left w:w="120" w:type="dxa"/>
              <w:right w:w="120" w:type="dxa"/>
            </w:tcMar>
          </w:tcPr>
          <w:p>
            <w:r>
              <w:rPr>
                <w:rFonts w:ascii="Calibri" w:hAnsi="Calibri"/>
                <w:sz w:val="18"/>
              </w:rPr>
              <w:t>2024-06-03</w:t>
            </w:r>
          </w:p>
        </w:tc>
        <w:tc>
          <w:tcPr>
            <w:tcW w:type="dxa" w:w="2484"/>
            <w:shd w:fill="EFF6FF"/>
            <w:tcMar>
              <w:top w:w="100" w:type="dxa"/>
              <w:bottom w:w="100" w:type="dxa"/>
              <w:left w:w="120" w:type="dxa"/>
              <w:right w:w="120" w:type="dxa"/>
            </w:tcMar>
          </w:tcPr>
          <w:p>
            <w:r>
              <w:rPr>
                <w:rFonts w:ascii="Calibri" w:hAnsi="Calibri"/>
                <w:sz w:val="18"/>
              </w:rPr>
              <w:t>₹2.25K</w:t>
            </w:r>
          </w:p>
        </w:tc>
        <w:tc>
          <w:tcPr>
            <w:tcW w:type="dxa" w:w="2484"/>
            <w:shd w:fill="EFF6FF"/>
            <w:tcMar>
              <w:top w:w="100" w:type="dxa"/>
              <w:bottom w:w="100" w:type="dxa"/>
              <w:left w:w="120" w:type="dxa"/>
              <w:right w:w="120" w:type="dxa"/>
            </w:tcMar>
          </w:tcPr>
          <w:p>
            <w:r>
              <w:rPr>
                <w:rFonts w:ascii="Calibri" w:hAnsi="Calibri"/>
                <w:sz w:val="18"/>
              </w:rPr>
              <w:t>3.6 to 4.50K</w:t>
            </w:r>
          </w:p>
        </w:tc>
        <w:tc>
          <w:tcPr>
            <w:tcW w:type="dxa" w:w="2484"/>
            <w:shd w:fill="EFF6FF"/>
            <w:tcMar>
              <w:top w:w="100" w:type="dxa"/>
              <w:bottom w:w="100" w:type="dxa"/>
              <w:left w:w="120" w:type="dxa"/>
              <w:right w:w="120" w:type="dxa"/>
            </w:tcMar>
          </w:tcPr>
          <w:p>
            <w:r>
              <w:rPr>
                <w:rFonts w:ascii="Calibri" w:hAnsi="Calibri"/>
                <w:sz w:val="18"/>
              </w:rPr>
              <w:t>0 to 5.69K</w:t>
            </w:r>
          </w:p>
        </w:tc>
      </w:tr>
      <w:tr>
        <w:tc>
          <w:tcPr>
            <w:tcW w:type="dxa" w:w="2484"/>
            <w:shd w:fill="FFFFFF"/>
            <w:tcMar>
              <w:top w:w="100" w:type="dxa"/>
              <w:bottom w:w="100" w:type="dxa"/>
              <w:left w:w="120" w:type="dxa"/>
              <w:right w:w="120" w:type="dxa"/>
            </w:tcMar>
          </w:tcPr>
          <w:p>
            <w:r>
              <w:rPr>
                <w:rFonts w:ascii="Calibri" w:hAnsi="Calibri"/>
                <w:sz w:val="18"/>
              </w:rPr>
              <w:t>2024-06-10</w:t>
            </w:r>
          </w:p>
        </w:tc>
        <w:tc>
          <w:tcPr>
            <w:tcW w:type="dxa" w:w="2484"/>
            <w:shd w:fill="FFFFFF"/>
            <w:tcMar>
              <w:top w:w="100" w:type="dxa"/>
              <w:bottom w:w="100" w:type="dxa"/>
              <w:left w:w="120" w:type="dxa"/>
              <w:right w:w="120" w:type="dxa"/>
            </w:tcMar>
          </w:tcPr>
          <w:p>
            <w:r>
              <w:rPr>
                <w:rFonts w:ascii="Calibri" w:hAnsi="Calibri"/>
                <w:sz w:val="18"/>
              </w:rPr>
              <w:t>₹2.19K</w:t>
            </w:r>
          </w:p>
        </w:tc>
        <w:tc>
          <w:tcPr>
            <w:tcW w:type="dxa" w:w="2484"/>
            <w:shd w:fill="FFFFFF"/>
            <w:tcMar>
              <w:top w:w="100" w:type="dxa"/>
              <w:bottom w:w="100" w:type="dxa"/>
              <w:left w:w="120" w:type="dxa"/>
              <w:right w:w="120" w:type="dxa"/>
            </w:tcMar>
          </w:tcPr>
          <w:p>
            <w:r>
              <w:rPr>
                <w:rFonts w:ascii="Calibri" w:hAnsi="Calibri"/>
                <w:sz w:val="18"/>
              </w:rPr>
              <w:t>0 to 4.65K</w:t>
            </w:r>
          </w:p>
        </w:tc>
        <w:tc>
          <w:tcPr>
            <w:tcW w:type="dxa" w:w="2484"/>
            <w:shd w:fill="FFFFFF"/>
            <w:tcMar>
              <w:top w:w="100" w:type="dxa"/>
              <w:bottom w:w="100" w:type="dxa"/>
              <w:left w:w="120" w:type="dxa"/>
              <w:right w:w="120" w:type="dxa"/>
            </w:tcMar>
          </w:tcPr>
          <w:p>
            <w:r>
              <w:rPr>
                <w:rFonts w:ascii="Calibri" w:hAnsi="Calibri"/>
                <w:sz w:val="18"/>
              </w:rPr>
              <w:t>0 to 5.95K</w:t>
            </w:r>
          </w:p>
        </w:tc>
      </w:tr>
      <w:tr>
        <w:tc>
          <w:tcPr>
            <w:tcW w:type="dxa" w:w="2484"/>
            <w:shd w:fill="EFF6FF"/>
            <w:tcMar>
              <w:top w:w="100" w:type="dxa"/>
              <w:bottom w:w="100" w:type="dxa"/>
              <w:left w:w="120" w:type="dxa"/>
              <w:right w:w="120" w:type="dxa"/>
            </w:tcMar>
          </w:tcPr>
          <w:p>
            <w:r>
              <w:rPr>
                <w:rFonts w:ascii="Calibri" w:hAnsi="Calibri"/>
                <w:sz w:val="18"/>
              </w:rPr>
              <w:t>2024-06-17</w:t>
            </w:r>
          </w:p>
        </w:tc>
        <w:tc>
          <w:tcPr>
            <w:tcW w:type="dxa" w:w="2484"/>
            <w:shd w:fill="EFF6FF"/>
            <w:tcMar>
              <w:top w:w="100" w:type="dxa"/>
              <w:bottom w:w="100" w:type="dxa"/>
              <w:left w:w="120" w:type="dxa"/>
              <w:right w:w="120" w:type="dxa"/>
            </w:tcMar>
          </w:tcPr>
          <w:p>
            <w:r>
              <w:rPr>
                <w:rFonts w:ascii="Calibri" w:hAnsi="Calibri"/>
                <w:sz w:val="18"/>
              </w:rPr>
              <w:t>₹2.12K</w:t>
            </w:r>
          </w:p>
        </w:tc>
        <w:tc>
          <w:tcPr>
            <w:tcW w:type="dxa" w:w="2484"/>
            <w:shd w:fill="EFF6FF"/>
            <w:tcMar>
              <w:top w:w="100" w:type="dxa"/>
              <w:bottom w:w="100" w:type="dxa"/>
              <w:left w:w="120" w:type="dxa"/>
              <w:right w:w="120" w:type="dxa"/>
            </w:tcMar>
          </w:tcPr>
          <w:p>
            <w:r>
              <w:rPr>
                <w:rFonts w:ascii="Calibri" w:hAnsi="Calibri"/>
                <w:sz w:val="18"/>
              </w:rPr>
              <w:t>0 to 4.78K</w:t>
            </w:r>
          </w:p>
        </w:tc>
        <w:tc>
          <w:tcPr>
            <w:tcW w:type="dxa" w:w="2484"/>
            <w:shd w:fill="EFF6FF"/>
            <w:tcMar>
              <w:top w:w="100" w:type="dxa"/>
              <w:bottom w:w="100" w:type="dxa"/>
              <w:left w:w="120" w:type="dxa"/>
              <w:right w:w="120" w:type="dxa"/>
            </w:tcMar>
          </w:tcPr>
          <w:p>
            <w:r>
              <w:rPr>
                <w:rFonts w:ascii="Calibri" w:hAnsi="Calibri"/>
                <w:sz w:val="18"/>
              </w:rPr>
              <w:t>0 to 6.19K</w:t>
            </w:r>
          </w:p>
        </w:tc>
      </w:tr>
    </w:tbl>
    <w:p>
      <w:pPr>
        <w:pStyle w:val="Heading1"/>
      </w:pPr>
      <w:r>
        <w:t>13. Evidence-Based Strategic Recommendations</w:t>
      </w:r>
    </w:p>
    <w:p>
      <w:pPr>
        <w:spacing w:before="120"/>
      </w:pPr>
      <w:r>
        <w:rPr>
          <w:b/>
          <w:sz w:val="20"/>
        </w:rPr>
        <w:t>[CRITICAL] Improve Profit on High-Volume Product: Furniture (Owner: Pricing &amp; Finance)</w:t>
      </w:r>
    </w:p>
    <w:p>
      <w:r>
        <w:t>• Problem: Significant sales volume generated by 'Furniture' yields compressed profit margins (-10.0% vs 17.0% store average).</w:t>
      </w:r>
    </w:p>
    <w:p>
      <w:r>
        <w:t>• Evidence: Revenue: ₹13,500 (23.9% share) | Profit: ₹-1,350 | Margin: -10.0% | Store Baseline: 17.0% | Orders: 30.</w:t>
      </w:r>
    </w:p>
    <w:p>
      <w:r>
        <w:t>• Recommended Action: Review supplier purchase costs and reduce discount depth on 'Furniture' by 3–5% to restore healthy margins.</w:t>
      </w:r>
    </w:p>
    <w:p>
      <w:r>
        <w:t>• Target KPI &amp; Timeframe: Profit Margin % (Immediate (7-14 Days))</w:t>
      </w:r>
    </w:p>
    <w:p>
      <w:pPr>
        <w:spacing w:before="120"/>
      </w:pPr>
      <w:r>
        <w:rPr>
          <w:b/>
          <w:sz w:val="20"/>
        </w:rPr>
        <w:t>[MEDIUM] Sales Decreased in Recent Period (2024-02) (Owner: Sales Leadership)</w:t>
      </w:r>
    </w:p>
    <w:p>
      <w:r>
        <w:t>• Problem: Sequential sales drop of 11.5% occurred in 2024-02. Category 'Technology' accounted for ₹1,200 (69.8%) of the decline.</w:t>
      </w:r>
    </w:p>
    <w:p>
      <w:r>
        <w:t>• Evidence: Sales fell from ₹14,960 to ₹13,240 (-11.5%). Decrease: -₹1,720. Category 'Technology' accounted for ₹1,200 (69.8%) of the decline.</w:t>
      </w:r>
    </w:p>
    <w:p>
      <w:r>
        <w:t>• Recommended Action: Check inventory availability and marketing campaign pacing for 'Technology' to prevent post-peak sales slowdowns.</w:t>
      </w:r>
    </w:p>
    <w:p>
      <w:r>
        <w:t>• Target KPI &amp; Timeframe: Monthly Sales Revenue (30 Days)</w:t>
      </w:r>
    </w:p>
    <w:p>
      <w:pPr>
        <w:spacing w:before="120"/>
      </w:pPr>
      <w:r>
        <w:rPr>
          <w:b/>
          <w:sz w:val="20"/>
        </w:rPr>
        <w:t>[MEDIUM] Performance Difference Across 'Apparel' and 'Technology' (Owner: Executive Management)</w:t>
      </w:r>
    </w:p>
    <w:p>
      <w:r>
        <w:t>• Problem: Performance difference across 'Category' segments.</w:t>
      </w:r>
    </w:p>
    <w:p>
      <w:r>
        <w:t>• Evidence: Lowest Segment: 'Apparel' (Avg: 80.0) | Highest Segment: 'Technology' (Avg: 1,200.0) | Difference: 1400.0%.</w:t>
      </w:r>
    </w:p>
    <w:p>
      <w:r>
        <w:t>• Recommended Action: Apply effective methods from 'Technology' to operations in 'Apparel'.</w:t>
      </w:r>
    </w:p>
    <w:p>
      <w:r>
        <w:t>• Target KPI &amp; Timeframe: Sales Revenue (30 Days)</w:t>
      </w:r>
    </w:p>
    <w:p>
      <w:pPr>
        <w:pStyle w:val="Heading1"/>
      </w:pPr>
      <w:r>
        <w:t>14. Priority Action Plan Table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293B"/>
            <w:tcMar>
              <w:top w:w="140" w:type="dxa"/>
              <w:bottom w:w="140" w:type="dxa"/>
              <w:left w:w="140" w:type="dxa"/>
              <w:right w:w="140" w:type="dxa"/>
            </w:tcMar>
          </w:tcPr>
          <w:p>
            <w:pPr>
              <w:jc w:val="left"/>
            </w:pPr>
            <w:r>
              <w:rPr>
                <w:rFonts w:ascii="Calibri" w:hAnsi="Calibri"/>
                <w:b/>
                <w:color w:val="FFFFFF"/>
                <w:sz w:val="19"/>
              </w:rPr>
              <w:t>Priority</w:t>
            </w:r>
          </w:p>
        </w:tc>
        <w:tc>
          <w:tcPr>
            <w:tcW w:type="dxa" w:w="1656"/>
            <w:shd w:fill="1E293B"/>
            <w:tcMar>
              <w:top w:w="140" w:type="dxa"/>
              <w:bottom w:w="140" w:type="dxa"/>
              <w:left w:w="140" w:type="dxa"/>
              <w:right w:w="140" w:type="dxa"/>
            </w:tcMar>
          </w:tcPr>
          <w:p>
            <w:pPr>
              <w:jc w:val="left"/>
            </w:pPr>
            <w:r>
              <w:rPr>
                <w:rFonts w:ascii="Calibri" w:hAnsi="Calibri"/>
                <w:b/>
                <w:color w:val="FFFFFF"/>
                <w:sz w:val="19"/>
              </w:rPr>
              <w:t>Business Issue</w:t>
            </w:r>
          </w:p>
        </w:tc>
        <w:tc>
          <w:tcPr>
            <w:tcW w:type="dxa" w:w="1656"/>
            <w:shd w:fill="1E293B"/>
            <w:tcMar>
              <w:top w:w="140" w:type="dxa"/>
              <w:bottom w:w="140" w:type="dxa"/>
              <w:left w:w="140" w:type="dxa"/>
              <w:right w:w="140" w:type="dxa"/>
            </w:tcMar>
          </w:tcPr>
          <w:p>
            <w:pPr>
              <w:jc w:val="left"/>
            </w:pPr>
            <w:r>
              <w:rPr>
                <w:rFonts w:ascii="Calibri" w:hAnsi="Calibri"/>
                <w:b/>
                <w:color w:val="FFFFFF"/>
                <w:sz w:val="19"/>
              </w:rPr>
              <w:t>Recommended Action</w:t>
            </w:r>
          </w:p>
        </w:tc>
        <w:tc>
          <w:tcPr>
            <w:tcW w:type="dxa" w:w="1656"/>
            <w:shd w:fill="1E293B"/>
            <w:tcMar>
              <w:top w:w="140" w:type="dxa"/>
              <w:bottom w:w="140" w:type="dxa"/>
              <w:left w:w="140" w:type="dxa"/>
              <w:right w:w="140" w:type="dxa"/>
            </w:tcMar>
          </w:tcPr>
          <w:p>
            <w:pPr>
              <w:jc w:val="left"/>
            </w:pPr>
            <w:r>
              <w:rPr>
                <w:rFonts w:ascii="Calibri" w:hAnsi="Calibri"/>
                <w:b/>
                <w:color w:val="FFFFFF"/>
                <w:sz w:val="19"/>
              </w:rPr>
              <w:t>Owner</w:t>
            </w:r>
          </w:p>
        </w:tc>
        <w:tc>
          <w:tcPr>
            <w:tcW w:type="dxa" w:w="1656"/>
            <w:shd w:fill="1E293B"/>
            <w:tcMar>
              <w:top w:w="140" w:type="dxa"/>
              <w:bottom w:w="140" w:type="dxa"/>
              <w:left w:w="140" w:type="dxa"/>
              <w:right w:w="140" w:type="dxa"/>
            </w:tcMar>
          </w:tcPr>
          <w:p>
            <w:pPr>
              <w:jc w:val="left"/>
            </w:pPr>
            <w:r>
              <w:rPr>
                <w:rFonts w:ascii="Calibri" w:hAnsi="Calibri"/>
                <w:b/>
                <w:color w:val="FFFFFF"/>
                <w:sz w:val="19"/>
              </w:rPr>
              <w:t>Target KPI</w:t>
            </w:r>
          </w:p>
        </w:tc>
        <w:tc>
          <w:tcPr>
            <w:tcW w:type="dxa" w:w="1656"/>
            <w:shd w:fill="1E293B"/>
            <w:tcMar>
              <w:top w:w="140" w:type="dxa"/>
              <w:bottom w:w="140" w:type="dxa"/>
              <w:left w:w="140" w:type="dxa"/>
              <w:right w:w="140" w:type="dxa"/>
            </w:tcMar>
          </w:tcPr>
          <w:p>
            <w:pPr>
              <w:jc w:val="left"/>
            </w:pPr>
            <w:r>
              <w:rPr>
                <w:rFonts w:ascii="Calibri" w:hAnsi="Calibri"/>
                <w:b/>
                <w:color w:val="FFFFFF"/>
                <w:sz w:val="19"/>
              </w:rPr>
              <w:t>Timeframe</w:t>
            </w:r>
          </w:p>
        </w:tc>
      </w:tr>
      <w:tr>
        <w:tc>
          <w:tcPr>
            <w:tcW w:type="dxa" w:w="1656"/>
            <w:shd w:fill="F8FAFC"/>
            <w:tcMar>
              <w:top w:w="100" w:type="dxa"/>
              <w:bottom w:w="100" w:type="dxa"/>
              <w:left w:w="120" w:type="dxa"/>
              <w:right w:w="120" w:type="dxa"/>
            </w:tcMar>
          </w:tcPr>
          <w:p>
            <w:r>
              <w:rPr>
                <w:rFonts w:ascii="Calibri" w:hAnsi="Calibri"/>
                <w:sz w:val="18"/>
              </w:rPr>
              <w:t>Critical</w:t>
            </w:r>
          </w:p>
        </w:tc>
        <w:tc>
          <w:tcPr>
            <w:tcW w:type="dxa" w:w="1656"/>
            <w:shd w:fill="F8FAFC"/>
            <w:tcMar>
              <w:top w:w="100" w:type="dxa"/>
              <w:bottom w:w="100" w:type="dxa"/>
              <w:left w:w="120" w:type="dxa"/>
              <w:right w:w="120" w:type="dxa"/>
            </w:tcMar>
          </w:tcPr>
          <w:p>
            <w:r>
              <w:rPr>
                <w:rFonts w:ascii="Calibri" w:hAnsi="Calibri"/>
                <w:sz w:val="18"/>
              </w:rPr>
              <w:t>Significant sales volume generated by 'Furniture' yields compressed profit margins (-10.0% vs 17.0% store average).</w:t>
            </w:r>
          </w:p>
        </w:tc>
        <w:tc>
          <w:tcPr>
            <w:tcW w:type="dxa" w:w="1656"/>
            <w:shd w:fill="F8FAFC"/>
            <w:tcMar>
              <w:top w:w="100" w:type="dxa"/>
              <w:bottom w:w="100" w:type="dxa"/>
              <w:left w:w="120" w:type="dxa"/>
              <w:right w:w="120" w:type="dxa"/>
            </w:tcMar>
          </w:tcPr>
          <w:p>
            <w:r>
              <w:rPr>
                <w:rFonts w:ascii="Calibri" w:hAnsi="Calibri"/>
                <w:sz w:val="18"/>
              </w:rPr>
              <w:t>Review supplier purchase costs and reduce discount depth on 'Furniture' by 3–5% to restore healthy margins.</w:t>
            </w:r>
          </w:p>
        </w:tc>
        <w:tc>
          <w:tcPr>
            <w:tcW w:type="dxa" w:w="1656"/>
            <w:shd w:fill="F8FAFC"/>
            <w:tcMar>
              <w:top w:w="100" w:type="dxa"/>
              <w:bottom w:w="100" w:type="dxa"/>
              <w:left w:w="120" w:type="dxa"/>
              <w:right w:w="120" w:type="dxa"/>
            </w:tcMar>
          </w:tcPr>
          <w:p>
            <w:r>
              <w:rPr>
                <w:rFonts w:ascii="Calibri" w:hAnsi="Calibri"/>
                <w:sz w:val="18"/>
              </w:rPr>
              <w:t>Pricing &amp; Finance</w:t>
            </w:r>
          </w:p>
        </w:tc>
        <w:tc>
          <w:tcPr>
            <w:tcW w:type="dxa" w:w="1656"/>
            <w:shd w:fill="F8FAFC"/>
            <w:tcMar>
              <w:top w:w="100" w:type="dxa"/>
              <w:bottom w:w="100" w:type="dxa"/>
              <w:left w:w="120" w:type="dxa"/>
              <w:right w:w="120" w:type="dxa"/>
            </w:tcMar>
          </w:tcPr>
          <w:p>
            <w:r>
              <w:rPr>
                <w:rFonts w:ascii="Calibri" w:hAnsi="Calibri"/>
                <w:sz w:val="18"/>
              </w:rPr>
              <w:t>Profit Margin %</w:t>
            </w:r>
          </w:p>
        </w:tc>
        <w:tc>
          <w:tcPr>
            <w:tcW w:type="dxa" w:w="1656"/>
            <w:shd w:fill="F8FAFC"/>
            <w:tcMar>
              <w:top w:w="100" w:type="dxa"/>
              <w:bottom w:w="100" w:type="dxa"/>
              <w:left w:w="120" w:type="dxa"/>
              <w:right w:w="120" w:type="dxa"/>
            </w:tcMar>
          </w:tcPr>
          <w:p>
            <w:r>
              <w:rPr>
                <w:rFonts w:ascii="Calibri" w:hAnsi="Calibri"/>
                <w:sz w:val="18"/>
              </w:rPr>
              <w:t>Immediate (7-14 Days)</w:t>
            </w:r>
          </w:p>
        </w:tc>
      </w:tr>
      <w:tr>
        <w:tc>
          <w:tcPr>
            <w:tcW w:type="dxa" w:w="1656"/>
            <w:shd w:fill="FFFFFF"/>
            <w:tcMar>
              <w:top w:w="100" w:type="dxa"/>
              <w:bottom w:w="100" w:type="dxa"/>
              <w:left w:w="120" w:type="dxa"/>
              <w:right w:w="120" w:type="dxa"/>
            </w:tcMar>
          </w:tcPr>
          <w:p>
            <w:r>
              <w:rPr>
                <w:rFonts w:ascii="Calibri" w:hAnsi="Calibri"/>
                <w:sz w:val="18"/>
              </w:rPr>
              <w:t>Medium</w:t>
            </w:r>
          </w:p>
        </w:tc>
        <w:tc>
          <w:tcPr>
            <w:tcW w:type="dxa" w:w="1656"/>
            <w:shd w:fill="FFFFFF"/>
            <w:tcMar>
              <w:top w:w="100" w:type="dxa"/>
              <w:bottom w:w="100" w:type="dxa"/>
              <w:left w:w="120" w:type="dxa"/>
              <w:right w:w="120" w:type="dxa"/>
            </w:tcMar>
          </w:tcPr>
          <w:p>
            <w:r>
              <w:rPr>
                <w:rFonts w:ascii="Calibri" w:hAnsi="Calibri"/>
                <w:sz w:val="18"/>
              </w:rPr>
              <w:t>Sequential sales drop of 11.5% occurred in 2024-02. Category 'Technology' accounted for ₹1,200 (69.8%) of the decline.</w:t>
            </w:r>
          </w:p>
        </w:tc>
        <w:tc>
          <w:tcPr>
            <w:tcW w:type="dxa" w:w="1656"/>
            <w:shd w:fill="FFFFFF"/>
            <w:tcMar>
              <w:top w:w="100" w:type="dxa"/>
              <w:bottom w:w="100" w:type="dxa"/>
              <w:left w:w="120" w:type="dxa"/>
              <w:right w:w="120" w:type="dxa"/>
            </w:tcMar>
          </w:tcPr>
          <w:p>
            <w:r>
              <w:rPr>
                <w:rFonts w:ascii="Calibri" w:hAnsi="Calibri"/>
                <w:sz w:val="18"/>
              </w:rPr>
              <w:t>Check inventory availability and marketing campaign pacing for 'Technology' to prevent post-peak sales slowdowns.</w:t>
            </w:r>
          </w:p>
        </w:tc>
        <w:tc>
          <w:tcPr>
            <w:tcW w:type="dxa" w:w="1656"/>
            <w:shd w:fill="FFFFFF"/>
            <w:tcMar>
              <w:top w:w="100" w:type="dxa"/>
              <w:bottom w:w="100" w:type="dxa"/>
              <w:left w:w="120" w:type="dxa"/>
              <w:right w:w="120" w:type="dxa"/>
            </w:tcMar>
          </w:tcPr>
          <w:p>
            <w:r>
              <w:rPr>
                <w:rFonts w:ascii="Calibri" w:hAnsi="Calibri"/>
                <w:sz w:val="18"/>
              </w:rPr>
              <w:t>Sales Leadership</w:t>
            </w:r>
          </w:p>
        </w:tc>
        <w:tc>
          <w:tcPr>
            <w:tcW w:type="dxa" w:w="1656"/>
            <w:shd w:fill="FFFFFF"/>
            <w:tcMar>
              <w:top w:w="100" w:type="dxa"/>
              <w:bottom w:w="100" w:type="dxa"/>
              <w:left w:w="120" w:type="dxa"/>
              <w:right w:w="120" w:type="dxa"/>
            </w:tcMar>
          </w:tcPr>
          <w:p>
            <w:r>
              <w:rPr>
                <w:rFonts w:ascii="Calibri" w:hAnsi="Calibri"/>
                <w:sz w:val="18"/>
              </w:rPr>
              <w:t>Monthly Sales Revenue</w:t>
            </w:r>
          </w:p>
        </w:tc>
        <w:tc>
          <w:tcPr>
            <w:tcW w:type="dxa" w:w="1656"/>
            <w:shd w:fill="FFFFFF"/>
            <w:tcMar>
              <w:top w:w="100" w:type="dxa"/>
              <w:bottom w:w="100" w:type="dxa"/>
              <w:left w:w="120" w:type="dxa"/>
              <w:right w:w="120" w:type="dxa"/>
            </w:tcMar>
          </w:tcPr>
          <w:p>
            <w:r>
              <w:rPr>
                <w:rFonts w:ascii="Calibri" w:hAnsi="Calibri"/>
                <w:sz w:val="18"/>
              </w:rPr>
              <w:t>30 Days</w:t>
            </w:r>
          </w:p>
        </w:tc>
      </w:tr>
      <w:tr>
        <w:tc>
          <w:tcPr>
            <w:tcW w:type="dxa" w:w="1656"/>
            <w:shd w:fill="F8FAFC"/>
            <w:tcMar>
              <w:top w:w="100" w:type="dxa"/>
              <w:bottom w:w="100" w:type="dxa"/>
              <w:left w:w="120" w:type="dxa"/>
              <w:right w:w="120" w:type="dxa"/>
            </w:tcMar>
          </w:tcPr>
          <w:p>
            <w:r>
              <w:rPr>
                <w:rFonts w:ascii="Calibri" w:hAnsi="Calibri"/>
                <w:sz w:val="18"/>
              </w:rPr>
              <w:t>Medium</w:t>
            </w:r>
          </w:p>
        </w:tc>
        <w:tc>
          <w:tcPr>
            <w:tcW w:type="dxa" w:w="1656"/>
            <w:shd w:fill="F8FAFC"/>
            <w:tcMar>
              <w:top w:w="100" w:type="dxa"/>
              <w:bottom w:w="100" w:type="dxa"/>
              <w:left w:w="120" w:type="dxa"/>
              <w:right w:w="120" w:type="dxa"/>
            </w:tcMar>
          </w:tcPr>
          <w:p>
            <w:r>
              <w:rPr>
                <w:rFonts w:ascii="Calibri" w:hAnsi="Calibri"/>
                <w:sz w:val="18"/>
              </w:rPr>
              <w:t>Performance difference across 'Category' segments.</w:t>
            </w:r>
          </w:p>
        </w:tc>
        <w:tc>
          <w:tcPr>
            <w:tcW w:type="dxa" w:w="1656"/>
            <w:shd w:fill="F8FAFC"/>
            <w:tcMar>
              <w:top w:w="100" w:type="dxa"/>
              <w:bottom w:w="100" w:type="dxa"/>
              <w:left w:w="120" w:type="dxa"/>
              <w:right w:w="120" w:type="dxa"/>
            </w:tcMar>
          </w:tcPr>
          <w:p>
            <w:r>
              <w:rPr>
                <w:rFonts w:ascii="Calibri" w:hAnsi="Calibri"/>
                <w:sz w:val="18"/>
              </w:rPr>
              <w:t>Apply effective methods from 'Technology' to operations in 'Apparel'.</w:t>
            </w:r>
          </w:p>
        </w:tc>
        <w:tc>
          <w:tcPr>
            <w:tcW w:type="dxa" w:w="1656"/>
            <w:shd w:fill="F8FAFC"/>
            <w:tcMar>
              <w:top w:w="100" w:type="dxa"/>
              <w:bottom w:w="100" w:type="dxa"/>
              <w:left w:w="120" w:type="dxa"/>
              <w:right w:w="120" w:type="dxa"/>
            </w:tcMar>
          </w:tcPr>
          <w:p>
            <w:r>
              <w:rPr>
                <w:rFonts w:ascii="Calibri" w:hAnsi="Calibri"/>
                <w:sz w:val="18"/>
              </w:rPr>
              <w:t>Executive Management</w:t>
            </w:r>
          </w:p>
        </w:tc>
        <w:tc>
          <w:tcPr>
            <w:tcW w:type="dxa" w:w="1656"/>
            <w:shd w:fill="F8FAFC"/>
            <w:tcMar>
              <w:top w:w="100" w:type="dxa"/>
              <w:bottom w:w="100" w:type="dxa"/>
              <w:left w:w="120" w:type="dxa"/>
              <w:right w:w="120" w:type="dxa"/>
            </w:tcMar>
          </w:tcPr>
          <w:p>
            <w:r>
              <w:rPr>
                <w:rFonts w:ascii="Calibri" w:hAnsi="Calibri"/>
                <w:sz w:val="18"/>
              </w:rPr>
              <w:t>Sales Revenue</w:t>
            </w:r>
          </w:p>
        </w:tc>
        <w:tc>
          <w:tcPr>
            <w:tcW w:type="dxa" w:w="1656"/>
            <w:shd w:fill="F8FAFC"/>
            <w:tcMar>
              <w:top w:w="100" w:type="dxa"/>
              <w:bottom w:w="100" w:type="dxa"/>
              <w:left w:w="120" w:type="dxa"/>
              <w:right w:w="120" w:type="dxa"/>
            </w:tcMar>
          </w:tcPr>
          <w:p>
            <w:r>
              <w:rPr>
                <w:rFonts w:ascii="Calibri" w:hAnsi="Calibri"/>
                <w:sz w:val="18"/>
              </w:rPr>
              <w:t>30 Days</w:t>
            </w:r>
          </w:p>
        </w:tc>
      </w:tr>
    </w:tbl>
    <w:p>
      <w:pPr>
        <w:pStyle w:val="Heading1"/>
      </w:pPr>
      <w:r>
        <w:t>15. Business Limitations &amp; Missing Data</w:t>
      </w:r>
    </w:p>
    <w:p>
      <w:pPr>
        <w:pStyle w:val="ListBullet"/>
      </w:pPr>
      <w:r>
        <w:rPr>
          <w:sz w:val="18"/>
        </w:rPr>
        <w:t>Inventory reorder recommendations require stock level and warehouse tracking data.</w:t>
      </w:r>
    </w:p>
    <w:p>
      <w:pPr>
        <w:pStyle w:val="ListBullet"/>
      </w:pPr>
      <w:r>
        <w:rPr>
          <w:sz w:val="18"/>
        </w:rPr>
        <w:t>Market share and external competitive benchmarking require third-party market filings.</w:t>
      </w:r>
    </w:p>
    <w:p>
      <w:pPr>
        <w:pStyle w:val="Heading1"/>
      </w:pPr>
      <w:r>
        <w:t>16. Technical Data Validation (Appendix)</w:t>
      </w:r>
    </w:p>
    <w:p>
      <w:r>
        <w:rPr>
          <w:i/>
          <w:color w:val="64748B"/>
          <w:sz w:val="17"/>
        </w:rPr>
        <w:t>Dataset Dimensions: 120 rows × 9 columns   |   Quality Score: 100/100 (Healthy)   |   Duplicate Rows: 0 (0.0%)</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Generated on 23 Sep 2026, 05:04 PM · Executive Decision Intelligence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DataScope Business Intelligence Report | superstore_sales.csv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