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Evonence — Messaging Framework &amp; PR Playbook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Boilerplate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Evonence is a Google Cloud Premier Partner specializing in cloud migration, data analytics, and AI-powered enterprise solutions. Founded in 2014, Evonence helps mid-market and enterprise organizations modernize their infrastructure and adopt generative AI responsibly. Headquartered in Pune, India, with clients across North America and APAC.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Voice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Professional, clear, and reassuring. Avoid hype and superlatives. Lead with customer outcomes, not technology. In a crisis, be transparent, accountable, and solution-focused — never defensive or dismissive.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Spokespersons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Rahul Deshpande, Chief Executive Officer — company vision, major announcements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Anjali Mehta, Chief Technology Officer — product, security, technical matters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Priya Sharma, Head of Communications — media inquiries, day-to-day press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Messaging Pillars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Customer trust comes first — we prioritize data security and transparency in everything we build.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Responsible AI — we deploy AI with human oversight, clear guardrails, and privacy by design.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Partnership-led — we succeed when our clients succeed; we act as an extension of their team.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Crisis Communication Principles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Acknowledge the issue quickly and factually. Do not speculate on cause before facts are confirmed.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State what is known, what is being done, and when the next update will come.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Never minimize customer impact. Express genuine concern for those affected.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Route all technical detail through the CTO; all media contact through the Head of Communications.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Contact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Media inquiries: press@evonence.com | Priya Sharma, Head of Communications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