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MASTER SERVICE AGREEMENT (MSA)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ABC Technologies Inc.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Vendor: </w:t>
      </w:r>
      <w:r w:rsidDel="00000000" w:rsidR="00000000" w:rsidRPr="00000000">
        <w:rPr>
          <w:rtl w:val="0"/>
        </w:rPr>
        <w:t xml:space="preserve">XYZ Solutions LLC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 </w:t>
      </w:r>
      <w:r w:rsidDel="00000000" w:rsidR="00000000" w:rsidRPr="00000000">
        <w:rPr>
          <w:rtl w:val="0"/>
        </w:rPr>
        <w:t xml:space="preserve">[Insert Effective Date]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1. Scope of Services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The Vendor shall provide software development, application maintenance, cloud migration, technical consulting, and related professional services as mutually agreed upon by both parties.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2. Payment Terms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Invoices submitted by the Vendor shall be payable within thirty (30) calendar days of receipt unless otherwise agreed in writing.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3. Intellectual Property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All work products, deliverables, source code, documentation, and other materials developed under this Agreement shall become the exclusive property of ABC Technologies Inc. upon full payment, unless otherwise specified.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4. Confidentiality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Both parties agree to maintain the confidentiality of proprietary, confidential, and business-sensitive information disclosed during the term of this Agreement. Such information shall not be disclosed to any third party without prior written consent except as required by law.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5. Indemnification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The Vendor shall indemnify, defend, and hold harmless the Client from any third-party claims, damages, liabilities, or expenses arising from negligence, intellectual property infringement, or breach of this Agreement.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6. Limitation of Liability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Neither party shall be liable for any indirect, incidental, special, or consequential damages. The total aggregate liability of either party shall not exceed the total fees paid under this Agreement.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7. Term and Termination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This Agreement shall remain effective until terminated by either party upon providing thirty (30) days' prior written notice. Termination shall not affect obligations relating to confidentiality, intellectual property, or indemnification.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8. Governing Law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This Agreement shall be governed by and construed in accordance with the laws of the State of California, United States, without regard to its conflict of law principles.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