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74C77"/>
          <w:sz w:val="34"/>
        </w:rPr>
        <w:t>LAB 3 · ARCHITECTURAL PATTERN SELECTION</w:t>
      </w:r>
    </w:p>
    <w:p>
      <w:pPr>
        <w:jc w:val="center"/>
      </w:pPr>
      <w:r>
        <w:rPr>
          <w:b/>
          <w:sz w:val="24"/>
        </w:rPr>
        <w:t>Warehouse Inventory &amp; Pallet Location Tracker</w:t>
      </w:r>
    </w:p>
    <w:p>
      <w:pPr>
        <w:jc w:val="center"/>
      </w:pPr>
      <w:r>
        <w:rPr>
          <w:color w:val="5F6368"/>
          <w:sz w:val="18"/>
        </w:rPr>
        <w:t>Student: C. Harshal Rajesh  |  SRN: PES1UG24CS118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454"/>
            <w:shd w:fill="E5F2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74C77"/>
              </w:rPr>
              <w:t xml:space="preserve">Architecture Selection: </w:t>
            </w:r>
            <w:r>
              <w:t>We chose Layered Architecture for the Warehouse Inventory &amp; Pallet Location Tracker.</w:t>
            </w:r>
          </w:p>
        </w:tc>
      </w:tr>
    </w:tbl>
    <w:p>
      <w:pPr>
        <w:spacing w:after="0"/>
      </w:pPr>
    </w:p>
    <w:p>
      <w:pPr>
        <w:spacing w:before="60" w:after="40"/>
      </w:pPr>
      <w:r>
        <w:rPr>
          <w:b/>
          <w:color w:val="274C77"/>
          <w:sz w:val="21"/>
        </w:rPr>
        <w:t>Architectural style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952"/>
        <w:gridCol w:w="2952"/>
        <w:gridCol w:w="2952"/>
      </w:tblGrid>
      <w:tr>
        <w:tc>
          <w:tcPr>
            <w:tcW w:type="dxa" w:w="2613"/>
            <w:shd w:fill="274C7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Style</w:t>
            </w:r>
          </w:p>
        </w:tc>
        <w:tc>
          <w:tcPr>
            <w:tcW w:type="dxa" w:w="2613"/>
            <w:shd w:fill="274C7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Strength in this scenario</w:t>
            </w:r>
          </w:p>
        </w:tc>
        <w:tc>
          <w:tcPr>
            <w:tcW w:type="dxa" w:w="2613"/>
            <w:shd w:fill="274C7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Trade-off</w:t>
            </w:r>
          </w:p>
        </w:tc>
        <w:tc>
          <w:tcPr>
            <w:tcW w:type="dxa" w:w="2613"/>
            <w:shd w:fill="274C7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Fit</w:t>
            </w:r>
          </w:p>
        </w:tc>
      </w:tr>
      <w:tr>
        <w:tc>
          <w:tcPr>
            <w:tcW w:type="dxa" w:w="15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Layered</w:t>
            </w:r>
          </w:p>
        </w:tc>
        <w:tc>
          <w:tcPr>
            <w:tcW w:type="dxa" w:w="2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Clear separation of UI, business rules and persistence.</w:t>
            </w:r>
          </w:p>
        </w:tc>
        <w:tc>
          <w:tcPr>
            <w:tcW w:type="dxa" w:w="2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Minor layer-call overhead.</w:t>
            </w:r>
          </w:p>
        </w:tc>
        <w:tc>
          <w:tcPr>
            <w:tcW w:type="dxa" w:w="2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E8F1EC"/>
          </w:tcPr>
          <w:p>
            <w:pPr>
              <w:spacing w:after="0"/>
            </w:pPr>
            <w:r>
              <w:rPr>
                <w:sz w:val="15"/>
              </w:rPr>
              <w:t>Best</w:t>
            </w:r>
          </w:p>
        </w:tc>
      </w:tr>
      <w:tr>
        <w:tc>
          <w:tcPr>
            <w:tcW w:type="dxa" w:w="15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Microservices</w:t>
            </w:r>
          </w:p>
        </w:tc>
        <w:tc>
          <w:tcPr>
            <w:tcW w:type="dxa" w:w="2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Independent deployment and fault isolation.</w:t>
            </w:r>
          </w:p>
        </w:tc>
        <w:tc>
          <w:tcPr>
            <w:tcW w:type="dxa" w:w="2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Network, deployment and data-consistency complexity is excessive here.</w:t>
            </w:r>
          </w:p>
        </w:tc>
        <w:tc>
          <w:tcPr>
            <w:tcW w:type="dxa" w:w="2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Client–Server</w:t>
            </w:r>
          </w:p>
        </w:tc>
        <w:tc>
          <w:tcPr>
            <w:tcW w:type="dxa" w:w="2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Central data control and simple clients.</w:t>
            </w:r>
          </w:p>
        </w:tc>
        <w:tc>
          <w:tcPr>
            <w:tcW w:type="dxa" w:w="2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Server/network dependency risks floor operations and latency.</w:t>
            </w:r>
          </w:p>
        </w:tc>
        <w:tc>
          <w:tcPr>
            <w:tcW w:type="dxa" w:w="2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</w:tr>
    </w:tbl>
    <w:p>
      <w:pPr>
        <w:spacing w:before="60" w:after="40"/>
      </w:pPr>
      <w:r>
        <w:rPr>
          <w:b/>
          <w:color w:val="274C77"/>
          <w:sz w:val="21"/>
        </w:rPr>
        <w:t>Two scenario-specific reasons</w:t>
      </w:r>
    </w:p>
    <w:p>
      <w:pPr>
        <w:pStyle w:val="ListBullet"/>
        <w:spacing w:after="40"/>
        <w:ind w:left="259" w:hanging="216"/>
      </w:pPr>
      <w:r>
        <w:rPr>
          <w:b/>
        </w:rPr>
        <w:t xml:space="preserve">1. Cohesive business rules. </w:t>
      </w:r>
      <w:r>
        <w:t>Pallet placement must identify a tag, validate rack load, save a complete 3D location and log the movement. Keeping these rules in a business layer prevents the operator UI and device adapter from duplicating safety-critical logic.</w:t>
      </w:r>
    </w:p>
    <w:p>
      <w:pPr>
        <w:pStyle w:val="ListBullet"/>
        <w:spacing w:after="40"/>
        <w:ind w:left="259" w:hanging="216"/>
      </w:pPr>
      <w:r>
        <w:rPr>
          <w:b/>
        </w:rPr>
        <w:t xml:space="preserve">2. Maintainability and replaceability. </w:t>
      </w:r>
      <w:r>
        <w:t>The touch-screen UI, barcode/RFID adapter and database can change behind stable interfaces. A scanner vendor, storage engine or screen layout can therefore be replaced without rewriting the capacity-validation rules.</w:t>
      </w:r>
    </w:p>
    <w:p>
      <w:pPr>
        <w:spacing w:before="60" w:after="40"/>
      </w:pPr>
      <w:r>
        <w:rPr>
          <w:b/>
          <w:color w:val="274C77"/>
          <w:sz w:val="21"/>
        </w:rPr>
        <w:t>Security advantage and performance benefit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6"/>
        <w:gridCol w:w="5126"/>
      </w:tblGrid>
      <w:tr>
        <w:tc>
          <w:tcPr>
            <w:tcW w:type="dxa" w:w="5227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274C77"/>
                <w:sz w:val="19"/>
              </w:rPr>
              <w:t>Security advantage</w:t>
            </w:r>
          </w:p>
          <w:p>
            <w:pPr>
              <w:spacing w:after="0" w:line="245" w:lineRule="auto"/>
            </w:pPr>
            <w:r>
              <w:t>All inventory writes pass through the Inventory &amp; Pallet Manager, which can enforce authentication and role-based authorization before database access. The UI and scanner adapter receive no direct database credentials. Parameterised repository queries and an append-only movement audit trail further protect integrity and accountability.</w:t>
            </w:r>
          </w:p>
        </w:tc>
        <w:tc>
          <w:tcPr>
            <w:tcW w:type="dxa" w:w="5227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274C77"/>
                <w:sz w:val="19"/>
              </w:rPr>
              <w:t>Performance benefit</w:t>
            </w:r>
          </w:p>
          <w:p>
            <w:pPr>
              <w:spacing w:after="0" w:line="245" w:lineRule="auto"/>
            </w:pPr>
            <w:r>
              <w:t>The business layer can validate a rack and persist the placement in one local workflow, avoiding remote microservice calls. Indexed SKU/barcode/RFID and 3D-location fields, prepared queries, connection pooling and caching of rack limits support the Lab 1 target of returning coordinates across 100,000 bins in under 100 ms.</w:t>
            </w:r>
          </w:p>
        </w:tc>
      </w:tr>
    </w:tbl>
    <w:p>
      <w:pPr>
        <w:spacing w:before="60" w:after="40"/>
      </w:pPr>
      <w:r>
        <w:rPr>
          <w:b/>
          <w:color w:val="274C77"/>
          <w:sz w:val="21"/>
        </w:rPr>
        <w:t>Selected components and interfaces</w:t>
      </w:r>
    </w:p>
    <w:p>
      <w:pPr>
        <w:spacing w:after="0" w:line="240" w:lineRule="auto"/>
      </w:pPr>
      <w:r>
        <w:rPr>
          <w:b/>
        </w:rPr>
        <w:t xml:space="preserve">Components: </w:t>
      </w:r>
      <w:r>
        <w:t xml:space="preserve">Warehouse Operator UI; Inventory &amp; Pallet Manager; Rack Capacity Service; Barcode/RFID Adapter; Warehouse Database. </w:t>
      </w:r>
      <w:r>
        <w:rPr>
          <w:b/>
        </w:rPr>
        <w:t xml:space="preserve">Interfaces: </w:t>
      </w:r>
      <w:r>
        <w:t>IWarehouseOperations, IScanData, ICapacityValidation and IWarehouseRepository. The component diagram uses ball-and-socket assembly connectors and labels the protocol/data carried by each interaction.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A75"/>
        <w:sz w:val="16"/>
      </w:rPr>
      <w:t xml:space="preserve">C. Harshal Rajesh · PES1UG24CS118 · Lab 3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