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360" w:lineRule="auto"/>
        <w:jc w:val="center"/>
      </w:pPr>
      <w:r>
        <w:rPr>
          <w:rFonts w:ascii="Bookman Old Style" w:hAnsi="Bookman Old Style" w:cs="Bookman Old Style" w:eastAsia="Bookman Old Style"/>
          <w:b/>
          <w:sz w:val="28"/>
        </w:rPr>
        <w:t>Project Report on</w:t>
      </w:r>
    </w:p>
    <w:p>
      <w:pPr>
        <w:spacing w:line="360" w:lineRule="auto"/>
        <w:jc w:val="center"/>
      </w:pPr>
      <w:r>
        <w:rPr>
          <w:rFonts w:ascii="Bookman Old Style" w:hAnsi="Bookman Old Style" w:cs="Bookman Old Style" w:eastAsia="Bookman Old Style"/>
          <w:b/>
          <w:sz w:val="36"/>
          <w:u w:val="single"/>
        </w:rPr>
        <w:t>Mitigating Hallucinations in Large Language Models</w:t>
      </w:r>
    </w:p>
    <w:p>
      <w:pPr>
        <w:spacing w:line="360" w:lineRule="auto"/>
        <w:jc w:val="center"/>
      </w:pPr>
      <w:r>
        <w:rPr>
          <w:rFonts w:ascii="Bookman Old Style" w:hAnsi="Bookman Old Style" w:cs="Bookman Old Style" w:eastAsia="Bookman Old Style"/>
          <w:b/>
          <w:sz w:val="28"/>
        </w:rPr>
        <w:t>through Dynamic Confidence-Weighted Multi-Agent Consensus and Knowledge Graph Integration</w:t>
      </w:r>
    </w:p>
    <w:p/>
    <w:p/>
    <w:p>
      <w:pPr>
        <w:spacing w:line="360" w:lineRule="auto"/>
        <w:jc w:val="center"/>
      </w:pPr>
      <w:r>
        <w:rPr>
          <w:rFonts w:ascii="Bookman Old Style" w:hAnsi="Bookman Old Style" w:cs="Bookman Old Style" w:eastAsia="Bookman Old Style"/>
          <w:b w:val="0"/>
          <w:sz w:val="24"/>
        </w:rPr>
        <w:t>for</w:t>
      </w:r>
    </w:p>
    <w:p>
      <w:pPr>
        <w:spacing w:line="360" w:lineRule="auto"/>
        <w:jc w:val="center"/>
      </w:pPr>
      <w:r>
        <w:rPr>
          <w:rFonts w:ascii="Bookman Old Style" w:hAnsi="Bookman Old Style" w:cs="Bookman Old Style" w:eastAsia="Bookman Old Style"/>
          <w:b/>
          <w:sz w:val="28"/>
        </w:rPr>
        <w:t>25PCA402P  Research Project</w:t>
      </w:r>
    </w:p>
    <w:p/>
    <w:p/>
    <w:p>
      <w:pPr>
        <w:spacing w:line="360" w:lineRule="auto"/>
        <w:jc w:val="center"/>
      </w:pPr>
      <w:r>
        <w:rPr>
          <w:rFonts w:ascii="Bookman Old Style" w:hAnsi="Bookman Old Style" w:cs="Bookman Old Style" w:eastAsia="Bookman Old Style"/>
          <w:b w:val="0"/>
          <w:sz w:val="24"/>
        </w:rPr>
        <w:t>Submitted By</w:t>
      </w:r>
    </w:p>
    <w:p>
      <w:pPr>
        <w:spacing w:line="360" w:lineRule="auto"/>
        <w:jc w:val="center"/>
      </w:pPr>
      <w:r>
        <w:rPr>
          <w:rFonts w:ascii="Bookman Old Style" w:hAnsi="Bookman Old Style" w:cs="Bookman Old Style" w:eastAsia="Bookman Old Style"/>
          <w:b/>
          <w:sz w:val="28"/>
        </w:rPr>
        <w:t>Harshal Ahire</w:t>
      </w:r>
    </w:p>
    <w:p/>
    <w:p/>
    <w:p>
      <w:pPr>
        <w:spacing w:line="360" w:lineRule="auto"/>
        <w:jc w:val="center"/>
      </w:pPr>
      <w:r>
        <w:rPr>
          <w:rFonts w:ascii="Bookman Old Style" w:hAnsi="Bookman Old Style" w:cs="Bookman Old Style" w:eastAsia="Bookman Old Style"/>
          <w:b w:val="0"/>
          <w:sz w:val="24"/>
        </w:rPr>
        <w:t>For</w:t>
      </w:r>
    </w:p>
    <w:p>
      <w:pPr>
        <w:spacing w:line="360" w:lineRule="auto"/>
        <w:jc w:val="center"/>
      </w:pPr>
      <w:r>
        <w:rPr>
          <w:rFonts w:ascii="Bookman Old Style" w:hAnsi="Bookman Old Style" w:cs="Bookman Old Style" w:eastAsia="Bookman Old Style"/>
          <w:b/>
          <w:sz w:val="28"/>
        </w:rPr>
        <w:t>Savitribai Phule Pune University</w:t>
      </w:r>
    </w:p>
    <w:p>
      <w:pPr>
        <w:spacing w:line="360" w:lineRule="auto"/>
        <w:jc w:val="center"/>
      </w:pPr>
      <w:r>
        <w:rPr>
          <w:rFonts w:ascii="Bookman Old Style" w:hAnsi="Bookman Old Style" w:cs="Bookman Old Style" w:eastAsia="Bookman Old Style"/>
          <w:b w:val="0"/>
          <w:sz w:val="24"/>
        </w:rPr>
        <w:t>(M.Sc. Computer Science – Semester III)</w:t>
      </w:r>
    </w:p>
    <w:p>
      <w:pPr>
        <w:spacing w:line="360" w:lineRule="auto"/>
        <w:jc w:val="center"/>
      </w:pPr>
      <w:r>
        <w:rPr>
          <w:rFonts w:ascii="Bookman Old Style" w:hAnsi="Bookman Old Style" w:cs="Bookman Old Style" w:eastAsia="Bookman Old Style"/>
          <w:b w:val="0"/>
          <w:sz w:val="24"/>
        </w:rPr>
        <w:t>(2025–2026)</w:t>
      </w:r>
    </w:p>
    <w:p/>
    <w:p/>
    <w:p>
      <w:pPr>
        <w:spacing w:line="360" w:lineRule="auto"/>
        <w:jc w:val="center"/>
      </w:pPr>
      <w:r>
        <w:rPr>
          <w:rFonts w:ascii="Bookman Old Style" w:hAnsi="Bookman Old Style" w:cs="Bookman Old Style" w:eastAsia="Bookman Old Style"/>
          <w:b/>
          <w:sz w:val="24"/>
        </w:rPr>
        <w:t>Indira College of Commerce &amp; Science, Pune 33</w:t>
      </w:r>
    </w:p>
    <w:p>
      <w:r>
        <w:br w:type="page"/>
      </w:r>
    </w:p>
    <w:p>
      <w:pPr>
        <w:spacing w:after="160" w:line="360" w:lineRule="auto"/>
        <w:jc w:val="left"/>
      </w:pPr>
      <w:r>
        <w:rPr>
          <w:rFonts w:ascii="Bookman Old Style" w:hAnsi="Bookman Old Style" w:cs="Bookman Old Style" w:eastAsia="Bookman Old Style"/>
          <w:b/>
          <w:sz w:val="28"/>
          <w:u w:val="single"/>
        </w:rPr>
        <w:t>Research Project Index (Table of Contents)</w:t>
      </w:r>
    </w:p>
    <w:p>
      <w:pPr>
        <w:spacing w:line="360" w:lineRule="auto"/>
        <w:jc w:val="both"/>
      </w:pPr>
      <w:r>
        <w:rPr>
          <w:rFonts w:ascii="Bookman Old Style" w:hAnsi="Bookman Old Style" w:cs="Bookman Old Style" w:eastAsia="Bookman Old Style"/>
          <w:b w:val="0"/>
          <w:sz w:val="24"/>
        </w:rPr>
        <w:t>Preliminary Pages</w:t>
      </w:r>
    </w:p>
    <w:p>
      <w:pPr>
        <w:spacing w:line="360" w:lineRule="auto"/>
        <w:jc w:val="both"/>
      </w:pPr>
      <w:r>
        <w:rPr>
          <w:rFonts w:ascii="Bookman Old Style" w:hAnsi="Bookman Old Style" w:cs="Bookman Old Style" w:eastAsia="Bookman Old Style"/>
          <w:b w:val="0"/>
          <w:sz w:val="24"/>
        </w:rPr>
        <w:t xml:space="preserve">    Certificate</w:t>
      </w:r>
    </w:p>
    <w:p>
      <w:pPr>
        <w:spacing w:line="360" w:lineRule="auto"/>
        <w:jc w:val="both"/>
      </w:pPr>
      <w:r>
        <w:rPr>
          <w:rFonts w:ascii="Bookman Old Style" w:hAnsi="Bookman Old Style" w:cs="Bookman Old Style" w:eastAsia="Bookman Old Style"/>
          <w:b w:val="0"/>
          <w:sz w:val="24"/>
        </w:rPr>
        <w:t xml:space="preserve">    Declaration</w:t>
      </w:r>
    </w:p>
    <w:p>
      <w:pPr>
        <w:spacing w:line="360" w:lineRule="auto"/>
        <w:jc w:val="both"/>
      </w:pPr>
      <w:r>
        <w:rPr>
          <w:rFonts w:ascii="Bookman Old Style" w:hAnsi="Bookman Old Style" w:cs="Bookman Old Style" w:eastAsia="Bookman Old Style"/>
          <w:b w:val="0"/>
          <w:sz w:val="24"/>
        </w:rPr>
        <w:t xml:space="preserve">    Acknowledgement</w:t>
      </w:r>
    </w:p>
    <w:p>
      <w:pPr>
        <w:spacing w:line="360" w:lineRule="auto"/>
        <w:jc w:val="both"/>
      </w:pPr>
      <w:r>
        <w:rPr>
          <w:rFonts w:ascii="Bookman Old Style" w:hAnsi="Bookman Old Style" w:cs="Bookman Old Style" w:eastAsia="Bookman Old Style"/>
          <w:b w:val="0"/>
          <w:sz w:val="24"/>
        </w:rPr>
        <w:t xml:space="preserve">    Abstract</w:t>
      </w:r>
    </w:p>
    <w:p>
      <w:pPr>
        <w:spacing w:line="360" w:lineRule="auto"/>
        <w:jc w:val="both"/>
      </w:pPr>
      <w:r>
        <w:rPr>
          <w:rFonts w:ascii="Bookman Old Style" w:hAnsi="Bookman Old Style" w:cs="Bookman Old Style" w:eastAsia="Bookman Old Style"/>
          <w:b w:val="0"/>
          <w:sz w:val="24"/>
        </w:rPr>
        <w:t>Chapter 1: Introduction</w:t>
      </w:r>
    </w:p>
    <w:p>
      <w:pPr>
        <w:spacing w:line="360" w:lineRule="auto"/>
        <w:jc w:val="both"/>
      </w:pPr>
      <w:r>
        <w:rPr>
          <w:rFonts w:ascii="Bookman Old Style" w:hAnsi="Bookman Old Style" w:cs="Bookman Old Style" w:eastAsia="Bookman Old Style"/>
          <w:b w:val="0"/>
          <w:sz w:val="24"/>
        </w:rPr>
        <w:t xml:space="preserve">    1.1  Background of the Study</w:t>
      </w:r>
    </w:p>
    <w:p>
      <w:pPr>
        <w:spacing w:line="360" w:lineRule="auto"/>
        <w:jc w:val="both"/>
      </w:pPr>
      <w:r>
        <w:rPr>
          <w:rFonts w:ascii="Bookman Old Style" w:hAnsi="Bookman Old Style" w:cs="Bookman Old Style" w:eastAsia="Bookman Old Style"/>
          <w:b w:val="0"/>
          <w:sz w:val="24"/>
        </w:rPr>
        <w:t xml:space="preserve">    1.2  Problem Statement</w:t>
      </w:r>
    </w:p>
    <w:p>
      <w:pPr>
        <w:spacing w:line="360" w:lineRule="auto"/>
        <w:jc w:val="both"/>
      </w:pPr>
      <w:r>
        <w:rPr>
          <w:rFonts w:ascii="Bookman Old Style" w:hAnsi="Bookman Old Style" w:cs="Bookman Old Style" w:eastAsia="Bookman Old Style"/>
          <w:b w:val="0"/>
          <w:sz w:val="24"/>
        </w:rPr>
        <w:t xml:space="preserve">    1.3  Objectives of the Study</w:t>
      </w:r>
    </w:p>
    <w:p>
      <w:pPr>
        <w:spacing w:line="360" w:lineRule="auto"/>
        <w:jc w:val="both"/>
      </w:pPr>
      <w:r>
        <w:rPr>
          <w:rFonts w:ascii="Bookman Old Style" w:hAnsi="Bookman Old Style" w:cs="Bookman Old Style" w:eastAsia="Bookman Old Style"/>
          <w:b w:val="0"/>
          <w:sz w:val="24"/>
        </w:rPr>
        <w:t xml:space="preserve">    1.4  Scope of the Study</w:t>
      </w:r>
    </w:p>
    <w:p>
      <w:pPr>
        <w:spacing w:line="360" w:lineRule="auto"/>
        <w:jc w:val="both"/>
      </w:pPr>
      <w:r>
        <w:rPr>
          <w:rFonts w:ascii="Bookman Old Style" w:hAnsi="Bookman Old Style" w:cs="Bookman Old Style" w:eastAsia="Bookman Old Style"/>
          <w:b w:val="0"/>
          <w:sz w:val="24"/>
        </w:rPr>
        <w:t xml:space="preserve">    1.5  Research Questions / Hypotheses</w:t>
      </w:r>
    </w:p>
    <w:p>
      <w:pPr>
        <w:spacing w:line="360" w:lineRule="auto"/>
        <w:jc w:val="both"/>
      </w:pPr>
      <w:r>
        <w:rPr>
          <w:rFonts w:ascii="Bookman Old Style" w:hAnsi="Bookman Old Style" w:cs="Bookman Old Style" w:eastAsia="Bookman Old Style"/>
          <w:b w:val="0"/>
          <w:sz w:val="24"/>
        </w:rPr>
        <w:t xml:space="preserve">    1.6  Significance of the Study</w:t>
      </w:r>
    </w:p>
    <w:p>
      <w:pPr>
        <w:spacing w:line="360" w:lineRule="auto"/>
        <w:jc w:val="both"/>
      </w:pPr>
      <w:r>
        <w:rPr>
          <w:rFonts w:ascii="Bookman Old Style" w:hAnsi="Bookman Old Style" w:cs="Bookman Old Style" w:eastAsia="Bookman Old Style"/>
          <w:b w:val="0"/>
          <w:sz w:val="24"/>
        </w:rPr>
        <w:t>Chapter 2: Literature Review</w:t>
      </w:r>
    </w:p>
    <w:p>
      <w:pPr>
        <w:spacing w:line="360" w:lineRule="auto"/>
        <w:jc w:val="both"/>
      </w:pPr>
      <w:r>
        <w:rPr>
          <w:rFonts w:ascii="Bookman Old Style" w:hAnsi="Bookman Old Style" w:cs="Bookman Old Style" w:eastAsia="Bookman Old Style"/>
          <w:b w:val="0"/>
          <w:sz w:val="24"/>
        </w:rPr>
        <w:t xml:space="preserve">    2.1  Introduction to the Domain</w:t>
      </w:r>
    </w:p>
    <w:p>
      <w:pPr>
        <w:spacing w:line="360" w:lineRule="auto"/>
        <w:jc w:val="both"/>
      </w:pPr>
      <w:r>
        <w:rPr>
          <w:rFonts w:ascii="Bookman Old Style" w:hAnsi="Bookman Old Style" w:cs="Bookman Old Style" w:eastAsia="Bookman Old Style"/>
          <w:b w:val="0"/>
          <w:sz w:val="24"/>
        </w:rPr>
        <w:t xml:space="preserve">    2.2  Review of Existing Work</w:t>
      </w:r>
    </w:p>
    <w:p>
      <w:pPr>
        <w:spacing w:line="360" w:lineRule="auto"/>
        <w:jc w:val="both"/>
      </w:pPr>
      <w:r>
        <w:rPr>
          <w:rFonts w:ascii="Bookman Old Style" w:hAnsi="Bookman Old Style" w:cs="Bookman Old Style" w:eastAsia="Bookman Old Style"/>
          <w:b w:val="0"/>
          <w:sz w:val="24"/>
        </w:rPr>
        <w:t xml:space="preserve">    2.3  Comparative Analysis of Previous Studies</w:t>
      </w:r>
    </w:p>
    <w:p>
      <w:pPr>
        <w:spacing w:line="360" w:lineRule="auto"/>
        <w:jc w:val="both"/>
      </w:pPr>
      <w:r>
        <w:rPr>
          <w:rFonts w:ascii="Bookman Old Style" w:hAnsi="Bookman Old Style" w:cs="Bookman Old Style" w:eastAsia="Bookman Old Style"/>
          <w:b w:val="0"/>
          <w:sz w:val="24"/>
        </w:rPr>
        <w:t xml:space="preserve">    2.4  Research Gap Identification</w:t>
      </w:r>
    </w:p>
    <w:p>
      <w:pPr>
        <w:spacing w:line="360" w:lineRule="auto"/>
        <w:jc w:val="both"/>
      </w:pPr>
      <w:r>
        <w:rPr>
          <w:rFonts w:ascii="Bookman Old Style" w:hAnsi="Bookman Old Style" w:cs="Bookman Old Style" w:eastAsia="Bookman Old Style"/>
          <w:b w:val="0"/>
          <w:sz w:val="24"/>
        </w:rPr>
        <w:t xml:space="preserve">    2.5  Summary</w:t>
      </w:r>
    </w:p>
    <w:p>
      <w:pPr>
        <w:spacing w:line="360" w:lineRule="auto"/>
        <w:jc w:val="both"/>
      </w:pPr>
      <w:r>
        <w:rPr>
          <w:rFonts w:ascii="Bookman Old Style" w:hAnsi="Bookman Old Style" w:cs="Bookman Old Style" w:eastAsia="Bookman Old Style"/>
          <w:b w:val="0"/>
          <w:sz w:val="24"/>
        </w:rPr>
        <w:t>Chapter 3: Research Methodology and System Design</w:t>
      </w:r>
    </w:p>
    <w:p>
      <w:pPr>
        <w:spacing w:line="360" w:lineRule="auto"/>
        <w:jc w:val="both"/>
      </w:pPr>
      <w:r>
        <w:rPr>
          <w:rFonts w:ascii="Bookman Old Style" w:hAnsi="Bookman Old Style" w:cs="Bookman Old Style" w:eastAsia="Bookman Old Style"/>
          <w:b w:val="0"/>
          <w:sz w:val="24"/>
        </w:rPr>
        <w:t xml:space="preserve">    3.1  Research Design</w:t>
      </w:r>
    </w:p>
    <w:p>
      <w:pPr>
        <w:spacing w:line="360" w:lineRule="auto"/>
        <w:jc w:val="both"/>
      </w:pPr>
      <w:r>
        <w:rPr>
          <w:rFonts w:ascii="Bookman Old Style" w:hAnsi="Bookman Old Style" w:cs="Bookman Old Style" w:eastAsia="Bookman Old Style"/>
          <w:b w:val="0"/>
          <w:sz w:val="24"/>
        </w:rPr>
        <w:t xml:space="preserve">    3.2  Data Collection Methods</w:t>
      </w:r>
    </w:p>
    <w:p>
      <w:pPr>
        <w:spacing w:line="360" w:lineRule="auto"/>
        <w:jc w:val="both"/>
      </w:pPr>
      <w:r>
        <w:rPr>
          <w:rFonts w:ascii="Bookman Old Style" w:hAnsi="Bookman Old Style" w:cs="Bookman Old Style" w:eastAsia="Bookman Old Style"/>
          <w:b w:val="0"/>
          <w:sz w:val="24"/>
        </w:rPr>
        <w:t xml:space="preserve">    3.3  Dataset Description</w:t>
      </w:r>
    </w:p>
    <w:p>
      <w:pPr>
        <w:spacing w:line="360" w:lineRule="auto"/>
        <w:jc w:val="both"/>
      </w:pPr>
      <w:r>
        <w:rPr>
          <w:rFonts w:ascii="Bookman Old Style" w:hAnsi="Bookman Old Style" w:cs="Bookman Old Style" w:eastAsia="Bookman Old Style"/>
          <w:b w:val="0"/>
          <w:sz w:val="24"/>
        </w:rPr>
        <w:t xml:space="preserve">    3.4  Data Preprocessing Techniques</w:t>
      </w:r>
    </w:p>
    <w:p>
      <w:pPr>
        <w:spacing w:line="360" w:lineRule="auto"/>
        <w:jc w:val="both"/>
      </w:pPr>
      <w:r>
        <w:rPr>
          <w:rFonts w:ascii="Bookman Old Style" w:hAnsi="Bookman Old Style" w:cs="Bookman Old Style" w:eastAsia="Bookman Old Style"/>
          <w:b w:val="0"/>
          <w:sz w:val="24"/>
        </w:rPr>
        <w:t xml:space="preserve">    3.5  Tools and Technologies Used</w:t>
      </w:r>
    </w:p>
    <w:p>
      <w:pPr>
        <w:spacing w:line="360" w:lineRule="auto"/>
        <w:jc w:val="both"/>
      </w:pPr>
      <w:r>
        <w:rPr>
          <w:rFonts w:ascii="Bookman Old Style" w:hAnsi="Bookman Old Style" w:cs="Bookman Old Style" w:eastAsia="Bookman Old Style"/>
          <w:b w:val="0"/>
          <w:sz w:val="24"/>
        </w:rPr>
        <w:t xml:space="preserve">    3.6  Proposed Methodology / Model</w:t>
      </w:r>
    </w:p>
    <w:p>
      <w:pPr>
        <w:spacing w:line="360" w:lineRule="auto"/>
        <w:jc w:val="both"/>
      </w:pPr>
      <w:r>
        <w:rPr>
          <w:rFonts w:ascii="Bookman Old Style" w:hAnsi="Bookman Old Style" w:cs="Bookman Old Style" w:eastAsia="Bookman Old Style"/>
          <w:b w:val="0"/>
          <w:sz w:val="24"/>
        </w:rPr>
        <w:t xml:space="preserve">    3.7  Model Development</w:t>
      </w:r>
    </w:p>
    <w:p>
      <w:pPr>
        <w:spacing w:line="360" w:lineRule="auto"/>
        <w:jc w:val="both"/>
      </w:pPr>
      <w:r>
        <w:rPr>
          <w:rFonts w:ascii="Bookman Old Style" w:hAnsi="Bookman Old Style" w:cs="Bookman Old Style" w:eastAsia="Bookman Old Style"/>
          <w:b w:val="0"/>
          <w:sz w:val="24"/>
        </w:rPr>
        <w:t xml:space="preserve">    3.8  Model Evaluation – Evaluation Metrics</w:t>
      </w:r>
    </w:p>
    <w:p>
      <w:pPr>
        <w:spacing w:line="360" w:lineRule="auto"/>
        <w:jc w:val="both"/>
      </w:pPr>
      <w:r>
        <w:rPr>
          <w:rFonts w:ascii="Bookman Old Style" w:hAnsi="Bookman Old Style" w:cs="Bookman Old Style" w:eastAsia="Bookman Old Style"/>
          <w:b w:val="0"/>
          <w:sz w:val="24"/>
        </w:rPr>
        <w:t xml:space="preserve">    3.9  Database Design</w:t>
      </w:r>
    </w:p>
    <w:p>
      <w:pPr>
        <w:spacing w:line="360" w:lineRule="auto"/>
        <w:jc w:val="both"/>
      </w:pPr>
      <w:r>
        <w:rPr>
          <w:rFonts w:ascii="Bookman Old Style" w:hAnsi="Bookman Old Style" w:cs="Bookman Old Style" w:eastAsia="Bookman Old Style"/>
          <w:b w:val="0"/>
          <w:sz w:val="24"/>
        </w:rPr>
        <w:t>Chapter 4: Implementation &amp; Results</w:t>
      </w:r>
    </w:p>
    <w:p>
      <w:pPr>
        <w:spacing w:line="360" w:lineRule="auto"/>
        <w:jc w:val="both"/>
      </w:pPr>
      <w:r>
        <w:rPr>
          <w:rFonts w:ascii="Bookman Old Style" w:hAnsi="Bookman Old Style" w:cs="Bookman Old Style" w:eastAsia="Bookman Old Style"/>
          <w:b w:val="0"/>
          <w:sz w:val="24"/>
        </w:rPr>
        <w:t xml:space="preserve">    4.1  Implementation Details</w:t>
      </w:r>
    </w:p>
    <w:p>
      <w:pPr>
        <w:spacing w:line="360" w:lineRule="auto"/>
        <w:jc w:val="both"/>
      </w:pPr>
      <w:r>
        <w:rPr>
          <w:rFonts w:ascii="Bookman Old Style" w:hAnsi="Bookman Old Style" w:cs="Bookman Old Style" w:eastAsia="Bookman Old Style"/>
          <w:b w:val="0"/>
          <w:sz w:val="24"/>
        </w:rPr>
        <w:t xml:space="preserve">    4.2  Experimental Setup</w:t>
      </w:r>
    </w:p>
    <w:p>
      <w:pPr>
        <w:spacing w:line="360" w:lineRule="auto"/>
        <w:jc w:val="both"/>
      </w:pPr>
      <w:r>
        <w:rPr>
          <w:rFonts w:ascii="Bookman Old Style" w:hAnsi="Bookman Old Style" w:cs="Bookman Old Style" w:eastAsia="Bookman Old Style"/>
          <w:b w:val="0"/>
          <w:sz w:val="24"/>
        </w:rPr>
        <w:t xml:space="preserve">    4.3  Results and Analysis</w:t>
      </w:r>
    </w:p>
    <w:p>
      <w:pPr>
        <w:spacing w:line="360" w:lineRule="auto"/>
        <w:jc w:val="both"/>
      </w:pPr>
      <w:r>
        <w:rPr>
          <w:rFonts w:ascii="Bookman Old Style" w:hAnsi="Bookman Old Style" w:cs="Bookman Old Style" w:eastAsia="Bookman Old Style"/>
          <w:b w:val="0"/>
          <w:sz w:val="24"/>
        </w:rPr>
        <w:t xml:space="preserve">    4.4  Performance Evaluation</w:t>
      </w:r>
    </w:p>
    <w:p>
      <w:pPr>
        <w:spacing w:line="360" w:lineRule="auto"/>
        <w:jc w:val="both"/>
      </w:pPr>
      <w:r>
        <w:rPr>
          <w:rFonts w:ascii="Bookman Old Style" w:hAnsi="Bookman Old Style" w:cs="Bookman Old Style" w:eastAsia="Bookman Old Style"/>
          <w:b w:val="0"/>
          <w:sz w:val="24"/>
        </w:rPr>
        <w:t xml:space="preserve">    4.5  Comparison with Existing Systems</w:t>
      </w:r>
    </w:p>
    <w:p>
      <w:pPr>
        <w:spacing w:line="360" w:lineRule="auto"/>
        <w:jc w:val="both"/>
      </w:pPr>
      <w:r>
        <w:rPr>
          <w:rFonts w:ascii="Bookman Old Style" w:hAnsi="Bookman Old Style" w:cs="Bookman Old Style" w:eastAsia="Bookman Old Style"/>
          <w:b w:val="0"/>
          <w:sz w:val="24"/>
        </w:rPr>
        <w:t>Chapter 5: Discussion</w:t>
      </w:r>
    </w:p>
    <w:p>
      <w:pPr>
        <w:spacing w:line="360" w:lineRule="auto"/>
        <w:jc w:val="both"/>
      </w:pPr>
      <w:r>
        <w:rPr>
          <w:rFonts w:ascii="Bookman Old Style" w:hAnsi="Bookman Old Style" w:cs="Bookman Old Style" w:eastAsia="Bookman Old Style"/>
          <w:b w:val="0"/>
          <w:sz w:val="24"/>
        </w:rPr>
        <w:t xml:space="preserve">    5.1  Interpretation of Results</w:t>
      </w:r>
    </w:p>
    <w:p>
      <w:pPr>
        <w:spacing w:line="360" w:lineRule="auto"/>
        <w:jc w:val="both"/>
      </w:pPr>
      <w:r>
        <w:rPr>
          <w:rFonts w:ascii="Bookman Old Style" w:hAnsi="Bookman Old Style" w:cs="Bookman Old Style" w:eastAsia="Bookman Old Style"/>
          <w:b w:val="0"/>
          <w:sz w:val="24"/>
        </w:rPr>
        <w:t xml:space="preserve">    5.2  Key Findings</w:t>
      </w:r>
    </w:p>
    <w:p>
      <w:pPr>
        <w:spacing w:line="360" w:lineRule="auto"/>
        <w:jc w:val="both"/>
      </w:pPr>
      <w:r>
        <w:rPr>
          <w:rFonts w:ascii="Bookman Old Style" w:hAnsi="Bookman Old Style" w:cs="Bookman Old Style" w:eastAsia="Bookman Old Style"/>
          <w:b w:val="0"/>
          <w:sz w:val="24"/>
        </w:rPr>
        <w:t xml:space="preserve">    5.3  Limitations</w:t>
      </w:r>
    </w:p>
    <w:p>
      <w:pPr>
        <w:spacing w:line="360" w:lineRule="auto"/>
        <w:jc w:val="both"/>
      </w:pPr>
      <w:r>
        <w:rPr>
          <w:rFonts w:ascii="Bookman Old Style" w:hAnsi="Bookman Old Style" w:cs="Bookman Old Style" w:eastAsia="Bookman Old Style"/>
          <w:b w:val="0"/>
          <w:sz w:val="24"/>
        </w:rPr>
        <w:t>Chapter 6: Conclusion and Future Work</w:t>
      </w:r>
    </w:p>
    <w:p>
      <w:pPr>
        <w:spacing w:line="360" w:lineRule="auto"/>
        <w:jc w:val="both"/>
      </w:pPr>
      <w:r>
        <w:rPr>
          <w:rFonts w:ascii="Bookman Old Style" w:hAnsi="Bookman Old Style" w:cs="Bookman Old Style" w:eastAsia="Bookman Old Style"/>
          <w:b w:val="0"/>
          <w:sz w:val="24"/>
        </w:rPr>
        <w:t xml:space="preserve">    6.1  Conclusion</w:t>
      </w:r>
    </w:p>
    <w:p>
      <w:pPr>
        <w:spacing w:line="360" w:lineRule="auto"/>
        <w:jc w:val="both"/>
      </w:pPr>
      <w:r>
        <w:rPr>
          <w:rFonts w:ascii="Bookman Old Style" w:hAnsi="Bookman Old Style" w:cs="Bookman Old Style" w:eastAsia="Bookman Old Style"/>
          <w:b w:val="0"/>
          <w:sz w:val="24"/>
        </w:rPr>
        <w:t xml:space="preserve">    6.2  Contributions of the Study</w:t>
      </w:r>
    </w:p>
    <w:p>
      <w:pPr>
        <w:spacing w:line="360" w:lineRule="auto"/>
        <w:jc w:val="both"/>
      </w:pPr>
      <w:r>
        <w:rPr>
          <w:rFonts w:ascii="Bookman Old Style" w:hAnsi="Bookman Old Style" w:cs="Bookman Old Style" w:eastAsia="Bookman Old Style"/>
          <w:b w:val="0"/>
          <w:sz w:val="24"/>
        </w:rPr>
        <w:t xml:space="preserve">    6.3  Future Scope</w:t>
      </w:r>
    </w:p>
    <w:p>
      <w:pPr>
        <w:spacing w:line="360" w:lineRule="auto"/>
        <w:jc w:val="both"/>
      </w:pPr>
      <w:r>
        <w:rPr>
          <w:rFonts w:ascii="Bookman Old Style" w:hAnsi="Bookman Old Style" w:cs="Bookman Old Style" w:eastAsia="Bookman Old Style"/>
          <w:b w:val="0"/>
          <w:sz w:val="24"/>
        </w:rPr>
        <w:t>References</w:t>
      </w:r>
    </w:p>
    <w:p>
      <w:r>
        <w:br w:type="page"/>
      </w:r>
    </w:p>
    <w:p>
      <w:pPr>
        <w:spacing w:after="160" w:line="360" w:lineRule="auto"/>
        <w:jc w:val="left"/>
      </w:pPr>
      <w:r>
        <w:rPr>
          <w:rFonts w:ascii="Bookman Old Style" w:hAnsi="Bookman Old Style" w:cs="Bookman Old Style" w:eastAsia="Bookman Old Style"/>
          <w:b/>
          <w:sz w:val="28"/>
          <w:u w:val="single"/>
        </w:rPr>
        <w:t>Certificate</w:t>
      </w:r>
    </w:p>
    <w:p>
      <w:pPr>
        <w:spacing w:line="360" w:lineRule="auto"/>
        <w:jc w:val="both"/>
      </w:pPr>
      <w:r>
        <w:rPr>
          <w:rFonts w:ascii="Bookman Old Style" w:hAnsi="Bookman Old Style" w:cs="Bookman Old Style" w:eastAsia="Bookman Old Style"/>
          <w:b w:val="0"/>
          <w:sz w:val="24"/>
        </w:rPr>
        <w:t>This is to certify that the project report entitled “Mitigating Hallucinations in Large Language Models through Dynamic Confidence-Weighted Multi-Agent Consensus and Knowledge Graph Integration” has been carried out by Mr. Harshal Ahire under my supervision and guidance, in partial fulfilment of the requirements for the award of the degree of Master of Science (Computer Science) – Semester III at Savitribai Phule Pune University, Pune, during the academic year 2025–2026.</w:t>
      </w:r>
    </w:p>
    <w:p>
      <w:pPr>
        <w:spacing w:line="360" w:lineRule="auto"/>
        <w:jc w:val="both"/>
      </w:pPr>
      <w:r>
        <w:rPr>
          <w:rFonts w:ascii="Bookman Old Style" w:hAnsi="Bookman Old Style" w:cs="Bookman Old Style" w:eastAsia="Bookman Old Style"/>
          <w:b w:val="0"/>
          <w:sz w:val="24"/>
        </w:rPr>
        <w:t>To the best of my knowledge the work presented herein is original, has not been submitted previously for the award of any other degree or diploma at this or any other institution, and represents the candidate’s own efforts. The candidate has worked diligently and demonstrated sound understanding of the problem domain, the experimental methodology, and the engineering discipline required to deliver a reproducible research artefact.</w:t>
      </w:r>
    </w:p>
    <w:p>
      <w:pPr>
        <w:spacing w:line="360" w:lineRule="auto"/>
        <w:jc w:val="both"/>
      </w:pPr>
      <w:r>
        <w:rPr>
          <w:rFonts w:ascii="Bookman Old Style" w:hAnsi="Bookman Old Style" w:cs="Bookman Old Style" w:eastAsia="Bookman Old Style"/>
          <w:b w:val="0"/>
          <w:sz w:val="24"/>
        </w:rPr>
        <w:t>The project complies with the academic standards prescribed by Savitribai Phule Pune University and is recommended for evaluation.</w:t>
      </w:r>
    </w:p>
    <w:p>
      <w:pPr>
        <w:spacing w:line="360" w:lineRule="auto"/>
        <w:jc w:val="both"/>
      </w:pPr>
      <w:r>
        <w:rPr>
          <w:rFonts w:ascii="Bookman Old Style" w:hAnsi="Bookman Old Style" w:cs="Bookman Old Style" w:eastAsia="Bookman Old Style"/>
          <w:b w:val="0"/>
          <w:sz w:val="24"/>
        </w:rPr>
      </w:r>
    </w:p>
    <w:p>
      <w:pPr>
        <w:spacing w:line="360" w:lineRule="auto"/>
        <w:jc w:val="both"/>
      </w:pPr>
      <w:r>
        <w:rPr>
          <w:rFonts w:ascii="Bookman Old Style" w:hAnsi="Bookman Old Style" w:cs="Bookman Old Style" w:eastAsia="Bookman Old Style"/>
          <w:b w:val="0"/>
          <w:sz w:val="24"/>
        </w:rPr>
        <w:t>Project Guide: ____________________                            Head of the Department: ____________________                   External Examiner: ____________________</w:t>
      </w:r>
    </w:p>
    <w:p>
      <w:pPr>
        <w:spacing w:line="360" w:lineRule="auto"/>
        <w:jc w:val="both"/>
      </w:pPr>
      <w:r>
        <w:rPr>
          <w:rFonts w:ascii="Bookman Old Style" w:hAnsi="Bookman Old Style" w:cs="Bookman Old Style" w:eastAsia="Bookman Old Style"/>
          <w:b w:val="0"/>
          <w:sz w:val="24"/>
        </w:rPr>
        <w:t>Date:  ____________________                                    Place: Pune</w:t>
      </w:r>
    </w:p>
    <w:p>
      <w:r>
        <w:br w:type="page"/>
      </w:r>
    </w:p>
    <w:p>
      <w:pPr>
        <w:spacing w:after="160" w:line="360" w:lineRule="auto"/>
        <w:jc w:val="left"/>
      </w:pPr>
      <w:r>
        <w:rPr>
          <w:rFonts w:ascii="Bookman Old Style" w:hAnsi="Bookman Old Style" w:cs="Bookman Old Style" w:eastAsia="Bookman Old Style"/>
          <w:b/>
          <w:sz w:val="28"/>
          <w:u w:val="single"/>
        </w:rPr>
        <w:t>Declaration</w:t>
      </w:r>
    </w:p>
    <w:p>
      <w:pPr>
        <w:spacing w:line="360" w:lineRule="auto"/>
        <w:jc w:val="both"/>
      </w:pPr>
      <w:r>
        <w:rPr>
          <w:rFonts w:ascii="Bookman Old Style" w:hAnsi="Bookman Old Style" w:cs="Bookman Old Style" w:eastAsia="Bookman Old Style"/>
          <w:b w:val="0"/>
          <w:sz w:val="24"/>
        </w:rPr>
        <w:t>I, Harshal Ahire, hereby declare that the project work titled “Mitigating Hallucinations in Large Language Models through Dynamic Confidence-Weighted Multi-Agent Consensus and Knowledge Graph Integration”, submitted in partial fulfilment of the requirements of the M.Sc. (Computer Science) programme of Savitribai Phule Pune University, is the result of my own original research carried out under the supervision of my project guide. The implementation, the experimental design, the empirical evaluation and the written analysis presented in this report have been undertaken by me.</w:t>
      </w:r>
    </w:p>
    <w:p>
      <w:pPr>
        <w:spacing w:line="360" w:lineRule="auto"/>
        <w:jc w:val="both"/>
      </w:pPr>
      <w:r>
        <w:rPr>
          <w:rFonts w:ascii="Bookman Old Style" w:hAnsi="Bookman Old Style" w:cs="Bookman Old Style" w:eastAsia="Bookman Old Style"/>
          <w:b w:val="0"/>
          <w:sz w:val="24"/>
        </w:rPr>
        <w:t>All sources of literature, datasets, software libraries and online materials consulted in the course of this work have been duly acknowledged in the References section. Where ideas, formulations or empirical observations from prior work have been used they have been clearly cited; no part of the report is plagiarised.</w:t>
      </w:r>
    </w:p>
    <w:p>
      <w:pPr>
        <w:spacing w:line="360" w:lineRule="auto"/>
        <w:jc w:val="both"/>
      </w:pPr>
      <w:r>
        <w:rPr>
          <w:rFonts w:ascii="Bookman Old Style" w:hAnsi="Bookman Old Style" w:cs="Bookman Old Style" w:eastAsia="Bookman Old Style"/>
          <w:b w:val="0"/>
          <w:sz w:val="24"/>
        </w:rPr>
        <w:t>This dissertation, in whole or in part, has not been submitted previously to any other institution for the award of any other degree, diploma or certificate.</w:t>
      </w:r>
    </w:p>
    <w:p>
      <w:pPr>
        <w:spacing w:line="360" w:lineRule="auto"/>
        <w:jc w:val="both"/>
      </w:pPr>
      <w:r>
        <w:rPr>
          <w:rFonts w:ascii="Bookman Old Style" w:hAnsi="Bookman Old Style" w:cs="Bookman Old Style" w:eastAsia="Bookman Old Style"/>
          <w:b w:val="0"/>
          <w:sz w:val="24"/>
        </w:rPr>
      </w:r>
    </w:p>
    <w:p>
      <w:pPr>
        <w:spacing w:line="360" w:lineRule="auto"/>
        <w:jc w:val="both"/>
      </w:pPr>
      <w:r>
        <w:rPr>
          <w:rFonts w:ascii="Bookman Old Style" w:hAnsi="Bookman Old Style" w:cs="Bookman Old Style" w:eastAsia="Bookman Old Style"/>
          <w:b w:val="0"/>
          <w:sz w:val="24"/>
        </w:rPr>
        <w:t>Date:  ____________________                                    Signature: ____________________</w:t>
      </w:r>
    </w:p>
    <w:p>
      <w:pPr>
        <w:spacing w:line="360" w:lineRule="auto"/>
        <w:jc w:val="both"/>
      </w:pPr>
      <w:r>
        <w:rPr>
          <w:rFonts w:ascii="Bookman Old Style" w:hAnsi="Bookman Old Style" w:cs="Bookman Old Style" w:eastAsia="Bookman Old Style"/>
          <w:b w:val="0"/>
          <w:sz w:val="24"/>
        </w:rPr>
        <w:t>Place: Pune                                                    Name: Harshal Ahire</w:t>
      </w:r>
    </w:p>
    <w:p>
      <w:r>
        <w:br w:type="page"/>
      </w:r>
    </w:p>
    <w:p>
      <w:pPr>
        <w:spacing w:after="160" w:line="360" w:lineRule="auto"/>
        <w:jc w:val="left"/>
      </w:pPr>
      <w:r>
        <w:rPr>
          <w:rFonts w:ascii="Bookman Old Style" w:hAnsi="Bookman Old Style" w:cs="Bookman Old Style" w:eastAsia="Bookman Old Style"/>
          <w:b/>
          <w:sz w:val="28"/>
          <w:u w:val="single"/>
        </w:rPr>
        <w:t>Acknowledgement</w:t>
      </w:r>
    </w:p>
    <w:p>
      <w:pPr>
        <w:spacing w:line="360" w:lineRule="auto"/>
        <w:jc w:val="both"/>
      </w:pPr>
      <w:r>
        <w:rPr>
          <w:rFonts w:ascii="Bookman Old Style" w:hAnsi="Bookman Old Style" w:cs="Bookman Old Style" w:eastAsia="Bookman Old Style"/>
          <w:b w:val="0"/>
          <w:sz w:val="24"/>
        </w:rPr>
        <w:t>I take this opportunity to express my sincere gratitude to my project guide for the constant encouragement, expert technical mentorship and constructive feedback offered throughout the duration of this research work. The detailed discussions on multi-agent retrieval architectures, knowledge graph integration and confidence-weighted consensus, and the rigorous critique of early drafts of the experimental design, were instrumental in shaping the final shape of this dissertation.</w:t>
      </w:r>
    </w:p>
    <w:p>
      <w:pPr>
        <w:spacing w:line="360" w:lineRule="auto"/>
        <w:jc w:val="both"/>
      </w:pPr>
      <w:r>
        <w:rPr>
          <w:rFonts w:ascii="Bookman Old Style" w:hAnsi="Bookman Old Style" w:cs="Bookman Old Style" w:eastAsia="Bookman Old Style"/>
          <w:b w:val="0"/>
          <w:sz w:val="24"/>
        </w:rPr>
        <w:t>I am thankful to the Head of the Department of Computer Science and to the faculty members of Indira College of Commerce &amp; Science, Pune, for providing the academic environment, the laboratory infrastructure and the encouragement required to undertake an independent research project of this scope. I also extend my gratitude to my fellow students for the many discussions that helped me clarify the architectural choices made in this work.</w:t>
      </w:r>
    </w:p>
    <w:p>
      <w:pPr>
        <w:spacing w:line="360" w:lineRule="auto"/>
        <w:jc w:val="both"/>
      </w:pPr>
      <w:r>
        <w:rPr>
          <w:rFonts w:ascii="Bookman Old Style" w:hAnsi="Bookman Old Style" w:cs="Bookman Old Style" w:eastAsia="Bookman Old Style"/>
          <w:b w:val="0"/>
          <w:sz w:val="24"/>
        </w:rPr>
        <w:t>I gratefully acknowledge the open-source community whose tools form the technical foundation of this implementation. In particular, the maintainers of the Ollama runtime, the LangChain and LangGraph orchestration libraries, the ChromaDB vector store, the Neo4j graph database, and the Hugging Face Sentence-Transformers project have made it possible to assemble a research-grade multi-agent pipeline on commodity hardware. I also acknowledge the Kaggle platform and Mr. Damien Charlotin for curating and publishing the AI Hallucination Cases dataset, which served as the empirical basis of this study.</w:t>
      </w:r>
    </w:p>
    <w:p>
      <w:pPr>
        <w:spacing w:line="360" w:lineRule="auto"/>
        <w:jc w:val="both"/>
      </w:pPr>
      <w:r>
        <w:rPr>
          <w:rFonts w:ascii="Bookman Old Style" w:hAnsi="Bookman Old Style" w:cs="Bookman Old Style" w:eastAsia="Bookman Old Style"/>
          <w:b w:val="0"/>
          <w:sz w:val="24"/>
        </w:rPr>
        <w:t>Finally, I thank my family and peers for their continuous support, patience and encouragement during the long hours of experimentation, debugging and writing required to bring this project to completion.</w:t>
      </w:r>
    </w:p>
    <w:p>
      <w:r>
        <w:br w:type="page"/>
      </w:r>
    </w:p>
    <w:p>
      <w:pPr>
        <w:spacing w:after="160" w:line="360" w:lineRule="auto"/>
        <w:jc w:val="left"/>
      </w:pPr>
      <w:r>
        <w:rPr>
          <w:rFonts w:ascii="Bookman Old Style" w:hAnsi="Bookman Old Style" w:cs="Bookman Old Style" w:eastAsia="Bookman Old Style"/>
          <w:b/>
          <w:sz w:val="28"/>
          <w:u w:val="single"/>
        </w:rPr>
        <w:t>Abstract</w:t>
      </w:r>
    </w:p>
    <w:p>
      <w:pPr>
        <w:spacing w:line="360" w:lineRule="auto"/>
        <w:jc w:val="both"/>
      </w:pPr>
      <w:r>
        <w:rPr>
          <w:rFonts w:ascii="Bookman Old Style" w:hAnsi="Bookman Old Style" w:cs="Bookman Old Style" w:eastAsia="Bookman Old Style"/>
          <w:b w:val="0"/>
          <w:sz w:val="24"/>
        </w:rPr>
        <w:t>The exponential proliferation of Large Language Models has fundamentally altered the trajectory of natural language processing, enabling unprecedented capabilities in complex reasoning, semantic synthesis and autonomous generative tasks. However, the integration of these foundational models into high-stakes, mission-critical environments — spanning clinical diagnostics, jurisprudential analysis and autonomous financial forecasting — is severely constrained by the persistent, systemic phenomenon of hallucinations. Hallucinations are defined as the generation of fluent and syntactically coherent yet factually inaccurate or entirely fabricated content, and represent a critical vulnerability in autoregressive architectures.</w:t>
      </w:r>
    </w:p>
    <w:p>
      <w:pPr>
        <w:spacing w:line="360" w:lineRule="auto"/>
        <w:jc w:val="both"/>
      </w:pPr>
      <w:r>
        <w:rPr>
          <w:rFonts w:ascii="Bookman Old Style" w:hAnsi="Bookman Old Style" w:cs="Bookman Old Style" w:eastAsia="Bookman Old Style"/>
          <w:b w:val="0"/>
          <w:sz w:val="24"/>
        </w:rPr>
        <w:t>This research delivers a meticulous investigation into advanced hallucination mitigation paradigms, explicitly focusing on the transition from single-agent generative paradigms to sophisticated Multi-Agent Debate architectures. By deconstructing the inherent limitations of traditional mitigation techniques — including isolated Retrieval-Augmented Generation and heuristic prompt engineering — the analysis establishes the necessity for collaborative, multi-model verification frameworks.</w:t>
      </w:r>
    </w:p>
    <w:p>
      <w:pPr>
        <w:spacing w:line="360" w:lineRule="auto"/>
        <w:jc w:val="both"/>
      </w:pPr>
      <w:r>
        <w:rPr>
          <w:rFonts w:ascii="Bookman Old Style" w:hAnsi="Bookman Old Style" w:cs="Bookman Old Style" w:eastAsia="Bookman Old Style"/>
          <w:b w:val="0"/>
          <w:sz w:val="24"/>
        </w:rPr>
        <w:t>The core of the investigation explores the integration of Deliberate Information Asymmetry and Dynamic Weighted Consensus for Multi-Agent Debate. These systems leverage mathematically rigorous confidence-weighted voting mechanisms, multi-agent reinforcement learning, and structural knowledge graph alignments to drastically reduce factual divergence and cognitive contamination. The dissertation also examines the intersection of these architectures with Green AI principles, and dissects modern evaluation paradigms — demonstrating the inadequacy of lexical metrics like ROUGE and advocating for LLM-as-a-Judge frameworks alongside domain-specific benchmarks such as LegalBench-RAG and the FACTS suite.</w:t>
      </w:r>
    </w:p>
    <w:p>
      <w:pPr>
        <w:spacing w:line="360" w:lineRule="auto"/>
        <w:jc w:val="both"/>
      </w:pPr>
      <w:r>
        <w:rPr>
          <w:rFonts w:ascii="Bookman Old Style" w:hAnsi="Bookman Old Style" w:cs="Bookman Old Style" w:eastAsia="Bookman Old Style"/>
          <w:b w:val="0"/>
          <w:sz w:val="24"/>
        </w:rPr>
        <w:t>An empirical evaluation has been conducted on the Charlotin AI Hallucination Cases dataset distributed via Kaggle, comprising real-world court rulings in which AI-generated citations were sanctioned by the bench. A Solver–Proposer–Checker–Synthesizer pipeline implemented in LangGraph, served by a locally-hosted llama3.1 model on Ollama and supported by ChromaDB and Neo4j, has been compared against a matched single-agent Retrieval-Augmented Generation baseline. The synthesised findings provide a comprehensive, academically rigorous blueprint for engineering trustworthy, factually grounded and computationally sustainable artificial intelligence systems.</w:t>
      </w:r>
    </w:p>
    <w:p>
      <w:r>
        <w:br w:type="page"/>
      </w:r>
    </w:p>
    <w:p>
      <w:pPr>
        <w:spacing w:after="160" w:line="360" w:lineRule="auto"/>
        <w:jc w:val="left"/>
      </w:pPr>
      <w:r>
        <w:rPr>
          <w:rFonts w:ascii="Bookman Old Style" w:hAnsi="Bookman Old Style" w:cs="Bookman Old Style" w:eastAsia="Bookman Old Style"/>
          <w:b/>
          <w:sz w:val="28"/>
          <w:u w:val="single"/>
        </w:rPr>
        <w:t>Chapter 1: Introduction</w:t>
      </w:r>
    </w:p>
    <w:p>
      <w:pPr>
        <w:spacing w:line="360" w:lineRule="auto"/>
        <w:jc w:val="both"/>
      </w:pPr>
      <w:r>
        <w:rPr>
          <w:rFonts w:ascii="Bookman Old Style" w:hAnsi="Bookman Old Style" w:cs="Bookman Old Style" w:eastAsia="Bookman Old Style"/>
          <w:b w:val="0"/>
          <w:sz w:val="24"/>
        </w:rPr>
        <w:t>Artificial intelligence has decisively entered an era defined by the dominance of transformer-based Large Language Models, which have demonstrated emergent reasoning capabilities across a vast array of scientific, industrial and consumer disciplines. The global volume of machine-generated and machine-readable information is projected to expand to one hundred and seventy-five zettabytes by the end of this decade, with healthcare, legal and financial sectors experiencing exponential growth in unstructured data generation. Large Language Models represent the most viable mechanism for processing, summarising and extracting actionable intelligence from this data deluge.</w:t>
      </w:r>
    </w:p>
    <w:p>
      <w:pPr>
        <w:spacing w:line="360" w:lineRule="auto"/>
        <w:jc w:val="both"/>
      </w:pPr>
      <w:r>
        <w:rPr>
          <w:rFonts w:ascii="Bookman Old Style" w:hAnsi="Bookman Old Style" w:cs="Bookman Old Style" w:eastAsia="Bookman Old Style"/>
          <w:b w:val="0"/>
          <w:sz w:val="24"/>
        </w:rPr>
        <w:t>However, the probabilistic nature of these autoregressive models — which are fundamentally optimised for syntactic coherence and statistical likelihood rather than for definitive factual grounding — inevitably leads to the generation of fabricated information. This phenomenon, widely termed hallucination, represents the most significant barrier to the autonomous deployment of generative artificial intelligence in enterprise and clinical environments. In domains where precision is not merely an optimisation metric but a fundamental requirement, the cost of hallucinated output extends far beyond mere inconvenience.</w:t>
      </w:r>
    </w:p>
    <w:p>
      <w:pPr>
        <w:spacing w:line="360" w:lineRule="auto"/>
        <w:jc w:val="both"/>
      </w:pPr>
      <w:r>
        <w:rPr>
          <w:rFonts w:ascii="Bookman Old Style" w:hAnsi="Bookman Old Style" w:cs="Bookman Old Style" w:eastAsia="Bookman Old Style"/>
          <w:b w:val="0"/>
          <w:sz w:val="24"/>
        </w:rPr>
        <w:t>This chapter sets out the background, the precise problem this dissertation addresses, the objectives that guide the work, the scope within which the claims are valid, the research questions and hypotheses to be tested, and finally the significance of the contributions for both the research community and practitioners deploying LLM-based systems in production settings.</w:t>
      </w:r>
    </w:p>
    <w:p>
      <w:r>
        <w:br w:type="page"/>
      </w:r>
    </w:p>
    <w:p>
      <w:pPr>
        <w:spacing w:after="160" w:line="360" w:lineRule="auto"/>
        <w:jc w:val="left"/>
      </w:pPr>
      <w:r>
        <w:rPr>
          <w:rFonts w:ascii="Bookman Old Style" w:hAnsi="Bookman Old Style" w:cs="Bookman Old Style" w:eastAsia="Bookman Old Style"/>
          <w:b/>
          <w:sz w:val="28"/>
          <w:u w:val="single"/>
        </w:rPr>
        <w:t>1.1  Background of the Study</w:t>
      </w:r>
    </w:p>
    <w:p>
      <w:pPr>
        <w:spacing w:line="360" w:lineRule="auto"/>
        <w:jc w:val="both"/>
      </w:pPr>
      <w:r>
        <w:rPr>
          <w:rFonts w:ascii="Bookman Old Style" w:hAnsi="Bookman Old Style" w:cs="Bookman Old Style" w:eastAsia="Bookman Old Style"/>
          <w:b w:val="0"/>
          <w:sz w:val="24"/>
        </w:rPr>
        <w:t>Large Language Models such as the GPT family, Claude, Gemini and the open-weights LLaMA family are pre-trained on internet-scale corpora using a self-supervised next-token prediction objective over hundreds of billions of tokens. This training objective rewards linguistic fluency and statistical plausibility rather than epistemological truth. As a consequence, when the input distribution drifts away from the training corpus, or when the model is asked for highly specific factual content (citations, dosages, dates, amounts), it tends to produce confident but incorrect outputs.</w:t>
      </w:r>
    </w:p>
    <w:p>
      <w:pPr>
        <w:spacing w:line="360" w:lineRule="auto"/>
        <w:jc w:val="both"/>
      </w:pPr>
      <w:r>
        <w:rPr>
          <w:rFonts w:ascii="Bookman Old Style" w:hAnsi="Bookman Old Style" w:cs="Bookman Old Style" w:eastAsia="Bookman Old Style"/>
          <w:b w:val="0"/>
          <w:sz w:val="24"/>
        </w:rPr>
        <w:t>Retrieval-Augmented Generation (RAG) was introduced as a remedy: by injecting trustworthy passages retrieved from an external knowledge base into the prompt, the LLM is grounded in verifiable evidence. While this approach is effective for simple lookup queries, single-agent RAG systems suffer from confirmation bias — the same model both drafts and self-checks an answer, making it structurally incapable of catching its own mistakes. Empirical evaluations on multi-hop reasoning, long-context queries and adversarial prompts have repeatedly shown that single-agent RAG fails to filter out noisy, irrelevant or contradictory retrieved documents, resulting in so-called context-induced hallucinations.</w:t>
      </w:r>
    </w:p>
    <w:p>
      <w:pPr>
        <w:spacing w:line="360" w:lineRule="auto"/>
        <w:jc w:val="both"/>
      </w:pPr>
      <w:r>
        <w:rPr>
          <w:rFonts w:ascii="Bookman Old Style" w:hAnsi="Bookman Old Style" w:cs="Bookman Old Style" w:eastAsia="Bookman Old Style"/>
          <w:b w:val="0"/>
          <w:sz w:val="24"/>
        </w:rPr>
        <w:t>The natural evolution of the RAG paradigm is therefore the multi-agent system, in which multiple specialised language model instances assume adversarial or collaborative roles to propose, critique and refine outputs through structured deliberation protocols. Recent work in the academic literature has explored deliberate information asymmetry between drafting and auditing agents, dynamic confidence-weighted consensus, multi-agent reinforcement learning and the integration of structured knowledge graphs with vector retrieval, all of which collectively raise the factual reliability of the system above what any of its individual components could achieve in isolation.</w:t>
      </w:r>
    </w:p>
    <w:p>
      <w:pPr>
        <w:spacing w:line="360" w:lineRule="auto"/>
        <w:jc w:val="both"/>
      </w:pPr>
      <w:r>
        <w:rPr>
          <w:rFonts w:ascii="Bookman Old Style" w:hAnsi="Bookman Old Style" w:cs="Bookman Old Style" w:eastAsia="Bookman Old Style"/>
          <w:b w:val="0"/>
          <w:sz w:val="24"/>
        </w:rPr>
        <w:t>Recent legal proceedings have made the operational risk of LLM hallucinations both tangible and quantifiable. The Charlotin AI Hallucination Cases dataset, published on Kaggle and refreshed regularly, documents over four hundred court rulings and orders in which lawyers, litigants and self-represented parties have been sanctioned for filing AI-generated briefs that contain fabricated citations, false quotations, misrepresented precedents or fictitious regulatory references. The monetary penalties imposed range from a few hundred to several thousand United States dollars per matter, and several jurisdictions have already started referring offending counsel to their respective state Bar associations. This corpus offers a rare opportunity for empirical work in this field — a real-world, externally validated catalogue of hallucinations against which any proposed mitigation system can be evaluated, free from the criticisms commonly levelled at synthetic benchmarks.</w:t>
      </w:r>
    </w:p>
    <w:p>
      <w:r>
        <w:br w:type="page"/>
      </w:r>
    </w:p>
    <w:p>
      <w:pPr>
        <w:spacing w:after="160" w:line="360" w:lineRule="auto"/>
        <w:jc w:val="left"/>
      </w:pPr>
      <w:r>
        <w:rPr>
          <w:rFonts w:ascii="Bookman Old Style" w:hAnsi="Bookman Old Style" w:cs="Bookman Old Style" w:eastAsia="Bookman Old Style"/>
          <w:b/>
          <w:sz w:val="28"/>
          <w:u w:val="single"/>
        </w:rPr>
        <w:t>1.2  Problem Statement</w:t>
      </w:r>
    </w:p>
    <w:p>
      <w:pPr>
        <w:spacing w:line="360" w:lineRule="auto"/>
        <w:jc w:val="both"/>
      </w:pPr>
      <w:r>
        <w:rPr>
          <w:rFonts w:ascii="Bookman Old Style" w:hAnsi="Bookman Old Style" w:cs="Bookman Old Style" w:eastAsia="Bookman Old Style"/>
          <w:b w:val="0"/>
          <w:sz w:val="24"/>
        </w:rPr>
        <w:t>Despite a rapidly growing body of literature on hallucination mitigation, three specific gaps remain. First, most empirical evaluations rely on synthetic or model-generated test sets, in which both the questions and the reference answers are produced by a language model; this raises serious questions of external validity, since the same parametric biases that the system is trying to defeat are also baked into the benchmark. Second, commercial multi-agent debate frameworks rarely enforce architectural isolation between drafting and auditing agents, allowing confirmation bias to leak across the pipeline through shared prompt context, shared chain-of-thought traces or shared cached embeddings. Third, the integration of structured knowledge graphs with dense vector retrieval is frequently ad-hoc and is rarely subjected to a controlled comparison against a strong single-agent baseline, with the result that the marginal contribution of each component is unknown.</w:t>
      </w:r>
    </w:p>
    <w:p>
      <w:pPr>
        <w:spacing w:line="360" w:lineRule="auto"/>
        <w:jc w:val="both"/>
      </w:pPr>
      <w:r>
        <w:rPr>
          <w:rFonts w:ascii="Bookman Old Style" w:hAnsi="Bookman Old Style" w:cs="Bookman Old Style" w:eastAsia="Bookman Old Style"/>
          <w:b w:val="0"/>
          <w:sz w:val="24"/>
        </w:rPr>
        <w:t>This research therefore frames the following central problem. Can a multi-agent retrieval pipeline that enforces deliberate information asymmetry between a drafting Solver and a blinded Checker, augmented with a structured Neo4j knowledge graph, statistically out-perform a single-agent RAG baseline at detecting real-world legal hallucinations as catalogued in the Charlotin Kaggle dataset, while remaining deployable on commodity local hardware in line with Green AI principles?</w:t>
      </w:r>
    </w:p>
    <w:p>
      <w:pPr>
        <w:spacing w:line="360" w:lineRule="auto"/>
        <w:jc w:val="both"/>
      </w:pPr>
      <w:r>
        <w:rPr>
          <w:rFonts w:ascii="Bookman Old Style" w:hAnsi="Bookman Old Style" w:cs="Bookman Old Style" w:eastAsia="Bookman Old Style"/>
          <w:b w:val="0"/>
          <w:sz w:val="24"/>
        </w:rPr>
        <w:t>Answering this question requires more than a single-shot demonstration. It requires a controlled experimental design in which both pipelines share the same evidence store, the same embeddings, the same base language model and the same prompt scaffolding, so that the only varying factor is the architectural arrangement of agents. It also requires a probe set whose ground truth is independently established and not generated by an LLM. These requirements drive every methodological choice made in the chapters that follow.</w:t>
      </w:r>
    </w:p>
    <w:p>
      <w:r>
        <w:br w:type="page"/>
      </w:r>
    </w:p>
    <w:p>
      <w:pPr>
        <w:spacing w:after="160" w:line="360" w:lineRule="auto"/>
        <w:jc w:val="left"/>
      </w:pPr>
      <w:r>
        <w:rPr>
          <w:rFonts w:ascii="Bookman Old Style" w:hAnsi="Bookman Old Style" w:cs="Bookman Old Style" w:eastAsia="Bookman Old Style"/>
          <w:b/>
          <w:sz w:val="28"/>
          <w:u w:val="single"/>
        </w:rPr>
        <w:t>1.3  Objectives of the Study</w:t>
      </w:r>
    </w:p>
    <w:p>
      <w:pPr>
        <w:spacing w:line="360" w:lineRule="auto"/>
        <w:jc w:val="both"/>
      </w:pPr>
      <w:r>
        <w:rPr>
          <w:rFonts w:ascii="Bookman Old Style" w:hAnsi="Bookman Old Style" w:cs="Bookman Old Style" w:eastAsia="Bookman Old Style"/>
          <w:b w:val="0"/>
          <w:sz w:val="24"/>
        </w:rPr>
        <w:t>The principal objectives of this dissertation, derived directly from the problem statement above, are enumerated below. Each objective is operationalised through a specific deliverable in subsequent chapters.</w:t>
      </w:r>
    </w:p>
    <w:p>
      <w:pPr>
        <w:pStyle w:val="ListBullet"/>
        <w:spacing w:line="360" w:lineRule="auto"/>
        <w:jc w:val="both"/>
      </w:pPr>
      <w:r>
        <w:rPr>
          <w:rFonts w:ascii="Bookman Old Style" w:hAnsi="Bookman Old Style" w:cs="Bookman Old Style" w:eastAsia="Bookman Old Style"/>
          <w:b w:val="0"/>
          <w:sz w:val="24"/>
        </w:rPr>
        <w:t>To design a multi-agent retrieval-augmented generation architecture that instantiates the Solver–Proposer–Checker–Synthesizer pattern and enforces strict information asymmetry between drafting and auditing agents through the LangGraph state schema rather than through prompt-level instructions.</w:t>
      </w:r>
    </w:p>
    <w:p>
      <w:pPr>
        <w:pStyle w:val="ListBullet"/>
        <w:spacing w:line="360" w:lineRule="auto"/>
        <w:jc w:val="both"/>
      </w:pPr>
      <w:r>
        <w:rPr>
          <w:rFonts w:ascii="Bookman Old Style" w:hAnsi="Bookman Old Style" w:cs="Bookman Old Style" w:eastAsia="Bookman Old Style"/>
          <w:b w:val="0"/>
          <w:sz w:val="24"/>
        </w:rPr>
        <w:t>To couple a dense vector store (ChromaDB) and a structured property graph (Neo4j) so that lexical and relational evidence are jointly available to the auditing agent, and to demonstrate the marginal benefit of the structured component empirically.</w:t>
      </w:r>
    </w:p>
    <w:p>
      <w:pPr>
        <w:pStyle w:val="ListBullet"/>
        <w:spacing w:line="360" w:lineRule="auto"/>
        <w:jc w:val="both"/>
      </w:pPr>
      <w:r>
        <w:rPr>
          <w:rFonts w:ascii="Bookman Old Style" w:hAnsi="Bookman Old Style" w:cs="Bookman Old Style" w:eastAsia="Bookman Old Style"/>
          <w:b w:val="0"/>
          <w:sz w:val="24"/>
        </w:rPr>
        <w:t>To construct a controlled empirical benchmark from the Charlotin AI Hallucination Cases dataset by generating paired TRUE / FALSE-citation probes per case, with deterministic reproducibility seeded into the probe generator.</w:t>
      </w:r>
    </w:p>
    <w:p>
      <w:pPr>
        <w:pStyle w:val="ListBullet"/>
        <w:spacing w:line="360" w:lineRule="auto"/>
        <w:jc w:val="both"/>
      </w:pPr>
      <w:r>
        <w:rPr>
          <w:rFonts w:ascii="Bookman Old Style" w:hAnsi="Bookman Old Style" w:cs="Bookman Old Style" w:eastAsia="Bookman Old Style"/>
          <w:b w:val="0"/>
          <w:sz w:val="24"/>
        </w:rPr>
        <w:t>To run both the proposed multi-agent pipeline and a single-agent RAG baseline over the benchmark, and to compare them on accuracy, precision, recall and F1 score using a confusion matrix anchored on the FALSE probes as the positive class.</w:t>
      </w:r>
    </w:p>
    <w:p>
      <w:pPr>
        <w:pStyle w:val="ListBullet"/>
        <w:spacing w:line="360" w:lineRule="auto"/>
        <w:jc w:val="both"/>
      </w:pPr>
      <w:r>
        <w:rPr>
          <w:rFonts w:ascii="Bookman Old Style" w:hAnsi="Bookman Old Style" w:cs="Bookman Old Style" w:eastAsia="Bookman Old Style"/>
          <w:b w:val="0"/>
          <w:sz w:val="24"/>
        </w:rPr>
        <w:t>To analyse the failure modes of both pipelines qualitatively, to characterise the latency cost of the multi-agent design, and to discuss the engineering trade-offs that emerge when a Green AI deployment constraint is imposed.</w:t>
      </w:r>
    </w:p>
    <w:p>
      <w:pPr>
        <w:pStyle w:val="ListBullet"/>
        <w:spacing w:line="360" w:lineRule="auto"/>
        <w:jc w:val="both"/>
      </w:pPr>
      <w:r>
        <w:rPr>
          <w:rFonts w:ascii="Bookman Old Style" w:hAnsi="Bookman Old Style" w:cs="Bookman Old Style" w:eastAsia="Bookman Old Style"/>
          <w:b w:val="0"/>
          <w:sz w:val="24"/>
        </w:rPr>
        <w:t>To release a reproducible open-source reference implementation, including the data ingestion, agent orchestration, evaluation harness and report generation, so that subsequent researchers may extend the work without having to reconstruct the substrate.</w:t>
      </w:r>
    </w:p>
    <w:p>
      <w:r>
        <w:br w:type="page"/>
      </w:r>
    </w:p>
    <w:p>
      <w:pPr>
        <w:spacing w:after="160" w:line="360" w:lineRule="auto"/>
        <w:jc w:val="left"/>
      </w:pPr>
      <w:r>
        <w:rPr>
          <w:rFonts w:ascii="Bookman Old Style" w:hAnsi="Bookman Old Style" w:cs="Bookman Old Style" w:eastAsia="Bookman Old Style"/>
          <w:b/>
          <w:sz w:val="28"/>
          <w:u w:val="single"/>
        </w:rPr>
        <w:t>1.4  Scope of the Study</w:t>
      </w:r>
    </w:p>
    <w:p>
      <w:pPr>
        <w:spacing w:line="360" w:lineRule="auto"/>
        <w:jc w:val="both"/>
      </w:pPr>
      <w:r>
        <w:rPr>
          <w:rFonts w:ascii="Bookman Old Style" w:hAnsi="Bookman Old Style" w:cs="Bookman Old Style" w:eastAsia="Bookman Old Style"/>
          <w:b w:val="0"/>
          <w:sz w:val="24"/>
        </w:rPr>
        <w:t>The scope of this study is intentionally bounded so that the empirical claims made in later chapters are defensible and the engineering effort remains tractable within the timeline of a Master’s dissertation.</w:t>
      </w:r>
    </w:p>
    <w:p>
      <w:pPr>
        <w:spacing w:line="360" w:lineRule="auto"/>
        <w:jc w:val="both"/>
      </w:pPr>
      <w:r>
        <w:rPr>
          <w:rFonts w:ascii="Bookman Old Style" w:hAnsi="Bookman Old Style" w:cs="Bookman Old Style" w:eastAsia="Bookman Old Style"/>
          <w:b w:val="0"/>
          <w:sz w:val="24"/>
        </w:rPr>
        <w:t>The pipeline is implemented and evaluated on a single Apple-silicon workstation. The language model is the quantised llama3.1 (approximately 4.9 GB on disk) served locally through the Ollama runtime; this choice is made deliberately to exercise the system in a Green AI configuration without recourse to commercial APIs. Sentence-level embeddings are computed with the CPU-friendly all-MiniLM-L6-v2 model from the Hugging Face Sentence-Transformers project. The dense vector store is ChromaDB with on-disk persistence; the structured knowledge graph is Neo4j Community Edition over the default Bolt protocol.</w:t>
      </w:r>
    </w:p>
    <w:p>
      <w:pPr>
        <w:spacing w:line="360" w:lineRule="auto"/>
        <w:jc w:val="both"/>
      </w:pPr>
      <w:r>
        <w:rPr>
          <w:rFonts w:ascii="Bookman Old Style" w:hAnsi="Bookman Old Style" w:cs="Bookman Old Style" w:eastAsia="Bookman Old Style"/>
          <w:b w:val="0"/>
          <w:sz w:val="24"/>
        </w:rPr>
        <w:t>The empirical corpus is the publicly distributed Charlotin AI Hallucination Cases dataset, restricted to the legal domain, which after preprocessing yields two hundred and forty-three usable rows out of the original four hundred and twenty-six. Probe construction is limited to one well-attested failure mode — fabricated case citations — so that ground-truth labelling is unambiguous and the binary classification metrics are interpretable.</w:t>
      </w:r>
    </w:p>
    <w:p>
      <w:pPr>
        <w:spacing w:line="360" w:lineRule="auto"/>
        <w:jc w:val="both"/>
      </w:pPr>
      <w:r>
        <w:rPr>
          <w:rFonts w:ascii="Bookman Old Style" w:hAnsi="Bookman Old Style" w:cs="Bookman Old Style" w:eastAsia="Bookman Old Style"/>
          <w:b w:val="0"/>
          <w:sz w:val="24"/>
        </w:rPr>
        <w:t>Out of scope, and explicitly flagged as future work in Chapter 6, are the following: (a) multilingual hallucination detection beyond the U.S. and Commonwealth jurisprudence covered by the dataset; (b) full reinforcement-learning training of the multi-agent pipeline as proposed in MARCH and related work; (c) large-scale cloud benchmarking against frontier proprietary models such as GPT-4-class systems; and (d) integration with commercial legal research platforms such as Westlaw or LexisNexis.</w:t>
      </w:r>
    </w:p>
    <w:p>
      <w:r>
        <w:br w:type="page"/>
      </w:r>
    </w:p>
    <w:p>
      <w:pPr>
        <w:spacing w:after="160" w:line="360" w:lineRule="auto"/>
        <w:jc w:val="left"/>
      </w:pPr>
      <w:r>
        <w:rPr>
          <w:rFonts w:ascii="Bookman Old Style" w:hAnsi="Bookman Old Style" w:cs="Bookman Old Style" w:eastAsia="Bookman Old Style"/>
          <w:b/>
          <w:sz w:val="28"/>
          <w:u w:val="single"/>
        </w:rPr>
        <w:t>1.5  Research Questions / Hypotheses</w:t>
      </w:r>
    </w:p>
    <w:p>
      <w:pPr>
        <w:spacing w:line="360" w:lineRule="auto"/>
        <w:jc w:val="both"/>
      </w:pPr>
      <w:r>
        <w:rPr>
          <w:rFonts w:ascii="Bookman Old Style" w:hAnsi="Bookman Old Style" w:cs="Bookman Old Style" w:eastAsia="Bookman Old Style"/>
          <w:b w:val="0"/>
          <w:sz w:val="24"/>
        </w:rPr>
        <w:t>From the objectives above, the following research questions and hypotheses have been formulated. Research questions are stated as open-ended investigations; hypotheses are stated as testable predictions.</w:t>
      </w:r>
    </w:p>
    <w:p>
      <w:pPr>
        <w:spacing w:line="360" w:lineRule="auto"/>
        <w:jc w:val="both"/>
      </w:pPr>
      <w:r>
        <w:rPr>
          <w:rFonts w:ascii="Bookman Old Style" w:hAnsi="Bookman Old Style" w:cs="Bookman Old Style" w:eastAsia="Bookman Old Style"/>
          <w:b w:val="0"/>
          <w:sz w:val="24"/>
        </w:rPr>
        <w:t>RQ1: Does the proposed multi-agent pipeline yield a statistically meaningful improvement in F1 score for hallucination detection over a matched single-agent RAG baseline on the Charlotin corpus?</w:t>
      </w:r>
    </w:p>
    <w:p>
      <w:pPr>
        <w:spacing w:line="360" w:lineRule="auto"/>
        <w:jc w:val="both"/>
      </w:pPr>
      <w:r>
        <w:rPr>
          <w:rFonts w:ascii="Bookman Old Style" w:hAnsi="Bookman Old Style" w:cs="Bookman Old Style" w:eastAsia="Bookman Old Style"/>
          <w:b w:val="0"/>
          <w:sz w:val="24"/>
        </w:rPr>
        <w:t>RQ2: Does the deliberate information asymmetry between Solver and Checker reduce the false-negative rate compared to an unblinded multi-agent design that gives the Checker access to the Solver’s prose?</w:t>
      </w:r>
    </w:p>
    <w:p>
      <w:pPr>
        <w:spacing w:line="360" w:lineRule="auto"/>
        <w:jc w:val="both"/>
      </w:pPr>
      <w:r>
        <w:rPr>
          <w:rFonts w:ascii="Bookman Old Style" w:hAnsi="Bookman Old Style" w:cs="Bookman Old Style" w:eastAsia="Bookman Old Style"/>
          <w:b w:val="0"/>
          <w:sz w:val="24"/>
        </w:rPr>
        <w:t>RQ3: What is the additional latency cost of the multi-agent pipeline relative to the baseline, and how does that cost scale with the number of probes and the number of agents?</w:t>
      </w:r>
    </w:p>
    <w:p>
      <w:pPr>
        <w:spacing w:line="360" w:lineRule="auto"/>
        <w:jc w:val="both"/>
      </w:pPr>
      <w:r>
        <w:rPr>
          <w:rFonts w:ascii="Bookman Old Style" w:hAnsi="Bookman Old Style" w:cs="Bookman Old Style" w:eastAsia="Bookman Old Style"/>
          <w:b w:val="0"/>
          <w:sz w:val="24"/>
        </w:rPr>
        <w:t>RQ4: To what extent does the Neo4j knowledge graph component contribute to verification quality on top of the ChromaDB-only retrieval, and on which classes of probes is its contribution greatest?</w:t>
      </w:r>
    </w:p>
    <w:p>
      <w:pPr>
        <w:spacing w:line="360" w:lineRule="auto"/>
        <w:jc w:val="both"/>
      </w:pPr>
      <w:r>
        <w:rPr>
          <w:rFonts w:ascii="Bookman Old Style" w:hAnsi="Bookman Old Style" w:cs="Bookman Old Style" w:eastAsia="Bookman Old Style"/>
          <w:b w:val="0"/>
          <w:sz w:val="24"/>
        </w:rPr>
        <w:t>Hypothesis H1: The multi-agent pipeline’s F1 score on the matched probe set will exceed that of the single-agent RAG baseline by at least five percentage points, with the gain concentrated on the FALSE-citation probes.</w:t>
      </w:r>
    </w:p>
    <w:p>
      <w:pPr>
        <w:spacing w:line="360" w:lineRule="auto"/>
        <w:jc w:val="both"/>
      </w:pPr>
      <w:r>
        <w:rPr>
          <w:rFonts w:ascii="Bookman Old Style" w:hAnsi="Bookman Old Style" w:cs="Bookman Old Style" w:eastAsia="Bookman Old Style"/>
          <w:b w:val="0"/>
          <w:sz w:val="24"/>
        </w:rPr>
        <w:t>Hypothesis H2: Recall on FALSE-citation probes will improve more than precision on TRUE-claim probes, indicating that the multi-agent system gains its edge primarily by catching fabrications rather than by being more conservative everywhere.</w:t>
      </w:r>
    </w:p>
    <w:p>
      <w:pPr>
        <w:spacing w:line="360" w:lineRule="auto"/>
        <w:jc w:val="both"/>
      </w:pPr>
      <w:r>
        <w:rPr>
          <w:rFonts w:ascii="Bookman Old Style" w:hAnsi="Bookman Old Style" w:cs="Bookman Old Style" w:eastAsia="Bookman Old Style"/>
          <w:b w:val="0"/>
          <w:sz w:val="24"/>
        </w:rPr>
        <w:t>Hypothesis H3: The additional latency cost of the multi-agent pipeline will be approximately proportional to the number of agents, dominated by the Solver and Checker calls and reducible through parallelisation of the retrieval and atomisation stages in future work.</w:t>
      </w:r>
    </w:p>
    <w:p>
      <w:r>
        <w:br w:type="page"/>
      </w:r>
    </w:p>
    <w:p>
      <w:pPr>
        <w:spacing w:after="160" w:line="360" w:lineRule="auto"/>
        <w:jc w:val="left"/>
      </w:pPr>
      <w:r>
        <w:rPr>
          <w:rFonts w:ascii="Bookman Old Style" w:hAnsi="Bookman Old Style" w:cs="Bookman Old Style" w:eastAsia="Bookman Old Style"/>
          <w:b/>
          <w:sz w:val="28"/>
          <w:u w:val="single"/>
        </w:rPr>
        <w:t>1.6  Significance of the Study</w:t>
      </w:r>
    </w:p>
    <w:p>
      <w:pPr>
        <w:spacing w:line="360" w:lineRule="auto"/>
        <w:jc w:val="both"/>
      </w:pPr>
      <w:r>
        <w:rPr>
          <w:rFonts w:ascii="Bookman Old Style" w:hAnsi="Bookman Old Style" w:cs="Bookman Old Style" w:eastAsia="Bookman Old Style"/>
          <w:b w:val="0"/>
          <w:sz w:val="24"/>
        </w:rPr>
        <w:t>The significance of this work is fourfold. Academically, it contributes one of the first controlled evaluations of multi-agent retrieval-augmented generation on a real-world legal hallucination corpus rather than on a synthetic benchmark, addressing a well-documented external-validity gap in the contemporary literature.</w:t>
      </w:r>
    </w:p>
    <w:p>
      <w:pPr>
        <w:spacing w:line="360" w:lineRule="auto"/>
        <w:jc w:val="both"/>
      </w:pPr>
      <w:r>
        <w:rPr>
          <w:rFonts w:ascii="Bookman Old Style" w:hAnsi="Bookman Old Style" w:cs="Bookman Old Style" w:eastAsia="Bookman Old Style"/>
          <w:b w:val="0"/>
          <w:sz w:val="24"/>
        </w:rPr>
        <w:t>Practically, the Solver–Proposer–Checker–Synthesizer architecture, with information asymmetry encoded in the orchestration graph itself, provides a deployable blueprint for legal-tech and other high-stakes domains where citation fidelity is non-negotiable. Because the design is independent of any particular base model or vendor, it can be transposed to whatever foundation model best fits the operator’s compliance and procurement requirements.</w:t>
      </w:r>
    </w:p>
    <w:p>
      <w:pPr>
        <w:spacing w:line="360" w:lineRule="auto"/>
        <w:jc w:val="both"/>
      </w:pPr>
      <w:r>
        <w:rPr>
          <w:rFonts w:ascii="Bookman Old Style" w:hAnsi="Bookman Old Style" w:cs="Bookman Old Style" w:eastAsia="Bookman Old Style"/>
          <w:b w:val="0"/>
          <w:sz w:val="24"/>
        </w:rPr>
        <w:t>From a sustainability standpoint, the entire pipeline runs locally on commodity hardware with a quantised model, offering a Green AI alternative to API-based cascades that incur both monetary and environmental cost. The carbon footprint of inference is concentrated in a single workstation and is therefore measurable and minimisable.</w:t>
      </w:r>
    </w:p>
    <w:p>
      <w:pPr>
        <w:spacing w:line="360" w:lineRule="auto"/>
        <w:jc w:val="both"/>
      </w:pPr>
      <w:r>
        <w:rPr>
          <w:rFonts w:ascii="Bookman Old Style" w:hAnsi="Bookman Old Style" w:cs="Bookman Old Style" w:eastAsia="Bookman Old Style"/>
          <w:b w:val="0"/>
          <w:sz w:val="24"/>
        </w:rPr>
        <w:t>Finally, the dissertation releases an open-source reference implementation and a reproducible benchmark harness that subsequent researchers and practitioners may extend, audit or repurpose. The deliberate decomposition of the pipeline into independent modules — data ingestion, agent orchestration, probe generation, baseline, benchmark runner and metrics — is intended to lower the barrier to entry for follow-on work in the same problem space.</w:t>
      </w:r>
    </w:p>
    <w:p>
      <w:r>
        <w:br w:type="page"/>
      </w:r>
    </w:p>
    <w:p>
      <w:pPr>
        <w:spacing w:after="160" w:line="360" w:lineRule="auto"/>
        <w:jc w:val="left"/>
      </w:pPr>
      <w:r>
        <w:rPr>
          <w:rFonts w:ascii="Bookman Old Style" w:hAnsi="Bookman Old Style" w:cs="Bookman Old Style" w:eastAsia="Bookman Old Style"/>
          <w:b/>
          <w:sz w:val="28"/>
          <w:u w:val="single"/>
        </w:rPr>
        <w:t>Chapter 2: Literature Review</w:t>
      </w:r>
    </w:p>
    <w:p>
      <w:pPr>
        <w:spacing w:line="360" w:lineRule="auto"/>
        <w:jc w:val="both"/>
      </w:pPr>
      <w:r>
        <w:rPr>
          <w:rFonts w:ascii="Bookman Old Style" w:hAnsi="Bookman Old Style" w:cs="Bookman Old Style" w:eastAsia="Bookman Old Style"/>
          <w:b w:val="0"/>
          <w:sz w:val="24"/>
        </w:rPr>
        <w:t>This chapter surveys the academic and industrial literature relevant to the four research questions enumerated in Section 1.5. It is organised in five sub-sections that progress from a general introduction of the domain to the specific gap targeted by the present study. Citation numbers in square brackets refer to the consolidated References list at the end of the dissertation.</w:t>
      </w:r>
    </w:p>
    <w:p>
      <w:r>
        <w:br w:type="page"/>
      </w:r>
    </w:p>
    <w:p>
      <w:pPr>
        <w:spacing w:after="160" w:line="360" w:lineRule="auto"/>
        <w:jc w:val="left"/>
      </w:pPr>
      <w:r>
        <w:rPr>
          <w:rFonts w:ascii="Bookman Old Style" w:hAnsi="Bookman Old Style" w:cs="Bookman Old Style" w:eastAsia="Bookman Old Style"/>
          <w:b/>
          <w:sz w:val="28"/>
          <w:u w:val="single"/>
        </w:rPr>
        <w:t>2.1  Introduction to the Domain</w:t>
      </w:r>
    </w:p>
    <w:p>
      <w:pPr>
        <w:spacing w:line="360" w:lineRule="auto"/>
        <w:jc w:val="both"/>
      </w:pPr>
      <w:r>
        <w:rPr>
          <w:rFonts w:ascii="Bookman Old Style" w:hAnsi="Bookman Old Style" w:cs="Bookman Old Style" w:eastAsia="Bookman Old Style"/>
          <w:b w:val="0"/>
          <w:sz w:val="24"/>
        </w:rPr>
        <w:t>Hallucinations in Large Language Models have been the subject of multiple comprehensive surveys in recent years, including the survey by Huang et al. on causes, detection and mitigation [1], and the cross-disciplinary review of the phenomenon in foundation models for healthcare [17]. The academic consensus is that hallucinations are intrinsic to the next-token-prediction objective and cannot be eliminated entirely by scaling alone; rather, they must be detected, mitigated and gated at inference time.</w:t>
      </w:r>
    </w:p>
    <w:p>
      <w:pPr>
        <w:spacing w:line="360" w:lineRule="auto"/>
        <w:jc w:val="both"/>
      </w:pPr>
      <w:r>
        <w:rPr>
          <w:rFonts w:ascii="Bookman Old Style" w:hAnsi="Bookman Old Style" w:cs="Bookman Old Style" w:eastAsia="Bookman Old Style"/>
          <w:b w:val="0"/>
          <w:sz w:val="24"/>
        </w:rPr>
        <w:t>The standard taxonomy bifurcates hallucinations into intrinsic and extrinsic categories. Intrinsic hallucinations contradict the supplied context — for example, a model summary claiming a patient is allergic to penicillin when the source record clearly states they are not. Extrinsic hallucinations introduce ungrounded facts whose veracity cannot be checked against the supplied context — for example, fabricated academic citations, invented case-law references, or non-existent regulatory clauses [1, 5, 17].</w:t>
      </w:r>
    </w:p>
    <w:p>
      <w:pPr>
        <w:spacing w:line="360" w:lineRule="auto"/>
        <w:jc w:val="both"/>
      </w:pPr>
      <w:r>
        <w:rPr>
          <w:rFonts w:ascii="Bookman Old Style" w:hAnsi="Bookman Old Style" w:cs="Bookman Old Style" w:eastAsia="Bookman Old Style"/>
          <w:b w:val="0"/>
          <w:sz w:val="24"/>
        </w:rPr>
        <w:t>An orthogonal axis classifies hallucinations as factual (asserting a wrong empirical fact such as the capital of a country) or logical (producing an internally inconsistent reasoning chain such as deriving an inequality from premises that imply equality). High-stakes domains are particularly vulnerable to factual hallucinations of the extrinsic kind: medical AI tools that confidently invent plausible-sounding drug-interaction warnings [6, 17], legal research tools that confidently cite cases that do not exist [5], and academic conference submissions in which models confidently invent authors and venues [16].</w:t>
      </w:r>
    </w:p>
    <w:p>
      <w:pPr>
        <w:spacing w:line="360" w:lineRule="auto"/>
        <w:jc w:val="both"/>
      </w:pPr>
      <w:r>
        <w:rPr>
          <w:rFonts w:ascii="Bookman Old Style" w:hAnsi="Bookman Old Style" w:cs="Bookman Old Style" w:eastAsia="Bookman Old Style"/>
          <w:b w:val="0"/>
          <w:sz w:val="24"/>
        </w:rPr>
        <w:t>Mitigation strategies fall into four broad families. Prompt engineering adjusts the surface form of the input to encourage caution, citation and step-by-step reasoning; canonical examples include Chain-of-Thought prompting and Chain-of-Verification (CoVe) [19, 20]. Retrieval augmentation injects external evidence into the prompt at inference time [60]. Constrained decoding restricts the output space to schema-conformant strings, type-checked program fragments or knowledge-base entities. Multi-agent debate distributes the drafting and auditing roles across multiple model instances, leveraging structural cross-examination as a check on confirmation bias.</w:t>
      </w:r>
    </w:p>
    <w:p>
      <w:pPr>
        <w:spacing w:line="360" w:lineRule="auto"/>
        <w:jc w:val="both"/>
      </w:pPr>
      <w:r>
        <w:rPr>
          <w:rFonts w:ascii="Bookman Old Style" w:hAnsi="Bookman Old Style" w:cs="Bookman Old Style" w:eastAsia="Bookman Old Style"/>
          <w:b w:val="0"/>
          <w:sz w:val="24"/>
        </w:rPr>
        <w:t>Of these four families, the first three are bounded by the parametric and architectural limits of the underlying single model. Multi-agent debate alone offers a structural — rather than statistical — guarantee, and is therefore the family in which this dissertation positions its contribution.</w:t>
      </w:r>
    </w:p>
    <w:p>
      <w:r>
        <w:br w:type="page"/>
      </w:r>
    </w:p>
    <w:p>
      <w:pPr>
        <w:spacing w:after="160" w:line="360" w:lineRule="auto"/>
        <w:jc w:val="left"/>
      </w:pPr>
      <w:r>
        <w:rPr>
          <w:rFonts w:ascii="Bookman Old Style" w:hAnsi="Bookman Old Style" w:cs="Bookman Old Style" w:eastAsia="Bookman Old Style"/>
          <w:b/>
          <w:sz w:val="28"/>
          <w:u w:val="single"/>
        </w:rPr>
        <w:t>2.2  Review of Existing Work</w:t>
      </w:r>
    </w:p>
    <w:p>
      <w:pPr>
        <w:spacing w:line="360" w:lineRule="auto"/>
        <w:jc w:val="both"/>
      </w:pPr>
      <w:r>
        <w:rPr>
          <w:rFonts w:ascii="Bookman Old Style" w:hAnsi="Bookman Old Style" w:cs="Bookman Old Style" w:eastAsia="Bookman Old Style"/>
          <w:b w:val="0"/>
          <w:sz w:val="24"/>
        </w:rPr>
        <w:t>Du et al. (2023) introduced the canonical Multi-Agent Debate framework, in which several language model instances iteratively critique each other’s answers until convergence [61]. The framework demonstrated improvements on factuality and reasoning benchmarks but suffered from premature convergence on shared parametric biases when all agents were drawn from the same base model. Subsequent work introduced increasingly sophisticated mechanisms to break this premature convergence.</w:t>
      </w:r>
    </w:p>
    <w:p>
      <w:pPr>
        <w:spacing w:line="360" w:lineRule="auto"/>
        <w:jc w:val="both"/>
      </w:pPr>
      <w:r>
        <w:rPr>
          <w:rFonts w:ascii="Bookman Old Style" w:hAnsi="Bookman Old Style" w:cs="Bookman Old Style" w:eastAsia="Bookman Old Style"/>
          <w:b w:val="0"/>
          <w:sz w:val="24"/>
        </w:rPr>
        <w:t>MARCH (Multi-Agent Reinforced Self-Check) [10] formalises a Solver–Proposer–Checker pipeline in which the Checker is strictly blinded to the Solver’s prose and instead receives only the atomised question–answer pairs extracted by the Proposer. A multi-agent reinforcement-learning loop penalises any discrepancy between the Proposer’s extracted answer and the Checker’s independent verification, jointly optimising the agents toward a self-contained verification loop. The dissertation reuses the architectural intuitions of MARCH while replacing reinforcement-learning fine-tuning with frozen-weights inference for tractability.</w:t>
      </w:r>
    </w:p>
    <w:p>
      <w:pPr>
        <w:spacing w:line="360" w:lineRule="auto"/>
        <w:jc w:val="both"/>
      </w:pPr>
      <w:r>
        <w:rPr>
          <w:rFonts w:ascii="Bookman Old Style" w:hAnsi="Bookman Old Style" w:cs="Bookman Old Style" w:eastAsia="Bookman Old Style"/>
          <w:b w:val="0"/>
          <w:sz w:val="24"/>
        </w:rPr>
        <w:t>MAIN-RAG [24] augments the multi-agent design with a filtering stage that discards noisy retrieved documents before they reach the Solver. RAG-KG-IL [23] combines retrieval, knowledge-graph fact-checking and incremental learning, demonstrating that structured knowledge can be added to a multi-agent retrieval pipeline at modest engineering cost. More recently, MAD-Logic [34] and Multi-Agent Undercover Gaming [9] have explored adversarial debate protocols and counterfactual probes.</w:t>
      </w:r>
    </w:p>
    <w:p>
      <w:pPr>
        <w:spacing w:line="360" w:lineRule="auto"/>
        <w:jc w:val="both"/>
      </w:pPr>
      <w:r>
        <w:rPr>
          <w:rFonts w:ascii="Bookman Old Style" w:hAnsi="Bookman Old Style" w:cs="Bookman Old Style" w:eastAsia="Bookman Old Style"/>
          <w:b w:val="0"/>
          <w:sz w:val="24"/>
        </w:rPr>
        <w:t>Confidence-Weighted Consensus methods move beyond simple majority voting by weighting each agent’s contribution by its instantaneous self-certainty and longitudinal reliability score. The Roundtable Policy [31] aggregates agent outputs through a confidence-weighted vote; the Dynamic Weighted Consensus Framework [13] formalises this as a convex combination in which weights are derived from logit probabilities, semantic-entropy estimates and historical accuracy tables. Confidence Calibration and Rationalisation via Multi-Agent Deliberation [58] further refines the calibration step.</w:t>
      </w:r>
    </w:p>
    <w:p>
      <w:pPr>
        <w:spacing w:line="360" w:lineRule="auto"/>
        <w:jc w:val="both"/>
      </w:pPr>
      <w:r>
        <w:rPr>
          <w:rFonts w:ascii="Bookman Old Style" w:hAnsi="Bookman Old Style" w:cs="Bookman Old Style" w:eastAsia="Bookman Old Style"/>
          <w:b w:val="0"/>
          <w:sz w:val="24"/>
        </w:rPr>
        <w:t>Knowledge-graph-augmented approaches such as GraphCheck [56], KARMA [33] and the news-bias detection framework [32] extract claim-level triples from the model output and verify them deterministically against a property graph, providing a Boolean fact-check that is complementary to the soft probabilistic check performed by the LLM itself.</w:t>
      </w:r>
    </w:p>
    <w:p>
      <w:pPr>
        <w:spacing w:line="360" w:lineRule="auto"/>
        <w:jc w:val="both"/>
      </w:pPr>
      <w:r>
        <w:rPr>
          <w:rFonts w:ascii="Bookman Old Style" w:hAnsi="Bookman Old Style" w:cs="Bookman Old Style" w:eastAsia="Bookman Old Style"/>
          <w:b w:val="0"/>
          <w:sz w:val="24"/>
        </w:rPr>
        <w:t>Evaluation methodology has shifted from lexical metrics such as ROUGE and BLEU — which are now widely understood to be statistically inadequate for factuality assessment — toward LLM-as-a-Judge scoring [42, 43, 44] and toward domain-specific benchmarks such as the FACTS leaderboard [47, 48], HalluLens [53, 54], LegalBench-RAG [49, 50], and the Vectara Hallucination Leaderboard [52]. The Illusion of Progress critique [40, 41] cautions that several apparent advances in this space disappear under more rigorous evaluation, motivating the use of real-world corpora rather than synthetic benchmarks.</w:t>
      </w:r>
    </w:p>
    <w:p>
      <w:r>
        <w:br w:type="page"/>
      </w:r>
    </w:p>
    <w:p>
      <w:pPr>
        <w:spacing w:after="160" w:line="360" w:lineRule="auto"/>
        <w:jc w:val="left"/>
      </w:pPr>
      <w:r>
        <w:rPr>
          <w:rFonts w:ascii="Bookman Old Style" w:hAnsi="Bookman Old Style" w:cs="Bookman Old Style" w:eastAsia="Bookman Old Style"/>
          <w:b/>
          <w:sz w:val="28"/>
          <w:u w:val="single"/>
        </w:rPr>
        <w:t>2.3  Comparative Analysis of Previous Studies</w:t>
      </w:r>
    </w:p>
    <w:p>
      <w:pPr>
        <w:spacing w:line="360" w:lineRule="auto"/>
        <w:jc w:val="both"/>
      </w:pPr>
      <w:r>
        <w:rPr>
          <w:rFonts w:ascii="Bookman Old Style" w:hAnsi="Bookman Old Style" w:cs="Bookman Old Style" w:eastAsia="Bookman Old Style"/>
          <w:b w:val="0"/>
          <w:sz w:val="24"/>
        </w:rPr>
        <w:t>A comparative reading of the surveyed studies reveals three recurring blind spots that this dissertation seeks to address.</w:t>
      </w:r>
    </w:p>
    <w:p>
      <w:pPr>
        <w:spacing w:line="360" w:lineRule="auto"/>
        <w:jc w:val="both"/>
      </w:pPr>
      <w:r>
        <w:rPr>
          <w:rFonts w:ascii="Bookman Old Style" w:hAnsi="Bookman Old Style" w:cs="Bookman Old Style" w:eastAsia="Bookman Old Style"/>
          <w:b w:val="0"/>
          <w:sz w:val="24"/>
        </w:rPr>
        <w:t>First, evaluation corpora are predominantly synthetic. Questions are frequently generated by an LLM and the reference answers are scored by another LLM. This circularity both inflates the reported scores and conflates failure modes, since the same parametric biases that the system is trying to defeat are baked into the benchmark generator. Real-world corpora, with externally validated ground truth, are comparatively rare in this sub-field.</w:t>
      </w:r>
    </w:p>
    <w:p>
      <w:pPr>
        <w:spacing w:line="360" w:lineRule="auto"/>
        <w:jc w:val="both"/>
      </w:pPr>
      <w:r>
        <w:rPr>
          <w:rFonts w:ascii="Bookman Old Style" w:hAnsi="Bookman Old Style" w:cs="Bookman Old Style" w:eastAsia="Bookman Old Style"/>
          <w:b w:val="0"/>
          <w:sz w:val="24"/>
        </w:rPr>
        <w:t>Second, frameworks that nominally include a Checker stage frequently feed the Checker the same context as the drafter, allowing prior beliefs to leak into the audit. The strict information-asymmetry property advocated by MARCH [10] is rarely implemented in production systems; more commonly, the Checker is instantiated as a prompt instruction such as ‘now critique the previous answer’, which is operationally equivalent to allowing the model to self-check.</w:t>
      </w:r>
    </w:p>
    <w:p>
      <w:pPr>
        <w:spacing w:line="360" w:lineRule="auto"/>
        <w:jc w:val="both"/>
      </w:pPr>
      <w:r>
        <w:rPr>
          <w:rFonts w:ascii="Bookman Old Style" w:hAnsi="Bookman Old Style" w:cs="Bookman Old Style" w:eastAsia="Bookman Old Style"/>
          <w:b w:val="0"/>
          <w:sz w:val="24"/>
        </w:rPr>
        <w:t>Third, knowledge-graph integrations are usually evaluated on knowledge-graph question-answering benchmarks such as those derived from WikiData, not on real-world hallucination corpora. The marginal benefit of the graph component on hallucination detection is therefore frequently asserted but rarely measured under controlled conditions.</w:t>
      </w:r>
    </w:p>
    <w:p>
      <w:pPr>
        <w:spacing w:line="360" w:lineRule="auto"/>
        <w:jc w:val="both"/>
      </w:pPr>
      <w:r>
        <w:rPr>
          <w:rFonts w:ascii="Bookman Old Style" w:hAnsi="Bookman Old Style" w:cs="Bookman Old Style" w:eastAsia="Bookman Old Style"/>
          <w:b w:val="0"/>
          <w:sz w:val="24"/>
        </w:rPr>
        <w:t>The present work differs from the surveyed body of literature on all three axes simultaneously: it uses the Charlotin real-world legal corpus rather than a synthetic benchmark; it enforces strict information asymmetry between Solver and Checker via the LangGraph state schema rather than via a prompt instruction; and it combines vector retrieval and graph retrieval in a single pipeline whose behaviour is then measured against a tightly matched single-agent baseline.</w:t>
      </w:r>
    </w:p>
    <w:p>
      <w:r>
        <w:br w:type="page"/>
      </w:r>
    </w:p>
    <w:p>
      <w:pPr>
        <w:spacing w:after="160" w:line="360" w:lineRule="auto"/>
        <w:jc w:val="left"/>
      </w:pPr>
      <w:r>
        <w:rPr>
          <w:rFonts w:ascii="Bookman Old Style" w:hAnsi="Bookman Old Style" w:cs="Bookman Old Style" w:eastAsia="Bookman Old Style"/>
          <w:b/>
          <w:sz w:val="28"/>
          <w:u w:val="single"/>
        </w:rPr>
        <w:t>2.4  Research Gap Identification</w:t>
      </w:r>
    </w:p>
    <w:p>
      <w:pPr>
        <w:spacing w:line="360" w:lineRule="auto"/>
        <w:jc w:val="both"/>
      </w:pPr>
      <w:r>
        <w:rPr>
          <w:rFonts w:ascii="Bookman Old Style" w:hAnsi="Bookman Old Style" w:cs="Bookman Old Style" w:eastAsia="Bookman Old Style"/>
          <w:b w:val="0"/>
          <w:sz w:val="24"/>
        </w:rPr>
        <w:t>Combining the analysis above, three specific gaps motivate this study. Each gap maps to one or more research questions stated in Section 1.5.</w:t>
      </w:r>
    </w:p>
    <w:p>
      <w:pPr>
        <w:spacing w:line="360" w:lineRule="auto"/>
        <w:jc w:val="both"/>
      </w:pPr>
      <w:r>
        <w:rPr>
          <w:rFonts w:ascii="Bookman Old Style" w:hAnsi="Bookman Old Style" w:cs="Bookman Old Style" w:eastAsia="Bookman Old Style"/>
          <w:b w:val="0"/>
          <w:sz w:val="24"/>
        </w:rPr>
        <w:t>Gap 1 — Lack of controlled, real-world evaluations of multi-agent retrieval-augmented generation on legal hallucination data. The Charlotin dataset, while increasingly cited, has been used primarily for descriptive statistics about the prevalence of AI-related court sanctions, not as the substrate of a controlled benchmark. RQ1 and RQ2 directly address this gap.</w:t>
      </w:r>
    </w:p>
    <w:p>
      <w:pPr>
        <w:spacing w:line="360" w:lineRule="auto"/>
        <w:jc w:val="both"/>
      </w:pPr>
      <w:r>
        <w:rPr>
          <w:rFonts w:ascii="Bookman Old Style" w:hAnsi="Bookman Old Style" w:cs="Bookman Old Style" w:eastAsia="Bookman Old Style"/>
          <w:b w:val="0"/>
          <w:sz w:val="24"/>
        </w:rPr>
        <w:t>Gap 2 — Absence of architectures that operationalise deliberate information asymmetry as a first-class design constraint rather than as an ad-hoc prompt instruction. The graph-encoded asymmetry adopted in this dissertation eliminates the possibility of accidental context-leakage between agents and exposes the constraint to automated testing. RQ2 specifically targets this gap.</w:t>
      </w:r>
    </w:p>
    <w:p>
      <w:pPr>
        <w:spacing w:line="360" w:lineRule="auto"/>
        <w:jc w:val="both"/>
      </w:pPr>
      <w:r>
        <w:rPr>
          <w:rFonts w:ascii="Bookman Old Style" w:hAnsi="Bookman Old Style" w:cs="Bookman Old Style" w:eastAsia="Bookman Old Style"/>
          <w:b w:val="0"/>
          <w:sz w:val="24"/>
        </w:rPr>
        <w:t>Gap 3 — Limited availability of open-source reference implementations that practitioners can audit, extend or reuse. The dissertation’s GitHub release fills this gap by providing a fully reproducible pipeline including data ingestion, agent orchestration, probe generation, baseline implementation, benchmark runner, metrics module and the present report. RQ3 and RQ4 are facilitated by, rather than directly addressed by, this gap closure.</w:t>
      </w:r>
    </w:p>
    <w:p>
      <w:r>
        <w:br w:type="page"/>
      </w:r>
    </w:p>
    <w:p>
      <w:pPr>
        <w:spacing w:after="160" w:line="360" w:lineRule="auto"/>
        <w:jc w:val="left"/>
      </w:pPr>
      <w:r>
        <w:rPr>
          <w:rFonts w:ascii="Bookman Old Style" w:hAnsi="Bookman Old Style" w:cs="Bookman Old Style" w:eastAsia="Bookman Old Style"/>
          <w:b/>
          <w:sz w:val="28"/>
          <w:u w:val="single"/>
        </w:rPr>
        <w:t>2.5  Summary</w:t>
      </w:r>
    </w:p>
    <w:p>
      <w:pPr>
        <w:spacing w:line="360" w:lineRule="auto"/>
        <w:jc w:val="both"/>
      </w:pPr>
      <w:r>
        <w:rPr>
          <w:rFonts w:ascii="Bookman Old Style" w:hAnsi="Bookman Old Style" w:cs="Bookman Old Style" w:eastAsia="Bookman Old Style"/>
          <w:b w:val="0"/>
          <w:sz w:val="24"/>
        </w:rPr>
        <w:t>In summary, the literature converges on multi-agent debate and structured retrieval as the most promising directions for hallucination mitigation. Strong empirical comparisons on real-world data against tightly matched single-agent baselines, however, remain scarce. This dissertation seeks to provide one such comparison on a public, real-world legal hallucination corpus, with a fully open implementation and a reproducible benchmark harness. The remainder of the report describes the research methodology adopted to do so, the implementation of the system, the empirical results and the discussion of those results.</w:t>
      </w:r>
    </w:p>
    <w:p>
      <w:r>
        <w:br w:type="page"/>
      </w:r>
    </w:p>
    <w:p>
      <w:pPr>
        <w:spacing w:after="160" w:line="360" w:lineRule="auto"/>
        <w:jc w:val="left"/>
      </w:pPr>
      <w:r>
        <w:rPr>
          <w:rFonts w:ascii="Bookman Old Style" w:hAnsi="Bookman Old Style" w:cs="Bookman Old Style" w:eastAsia="Bookman Old Style"/>
          <w:b/>
          <w:sz w:val="28"/>
          <w:u w:val="single"/>
        </w:rPr>
        <w:t>Chapter 3: Research Methodology and System Design</w:t>
      </w:r>
    </w:p>
    <w:p>
      <w:pPr>
        <w:spacing w:line="360" w:lineRule="auto"/>
        <w:jc w:val="both"/>
      </w:pPr>
      <w:r>
        <w:rPr>
          <w:rFonts w:ascii="Bookman Old Style" w:hAnsi="Bookman Old Style" w:cs="Bookman Old Style" w:eastAsia="Bookman Old Style"/>
          <w:b w:val="0"/>
          <w:sz w:val="24"/>
        </w:rPr>
        <w:t>This chapter describes the empirical methodology adopted, the dataset, the preprocessing pipeline, the tooling, the proposed multi-agent architecture, and the metrics used to compare the proposed system against the baseline. The chapter is structured to map directly onto the implementation files in the project repository so that any described component can be located and audited in source.</w:t>
      </w:r>
    </w:p>
    <w:p>
      <w:r>
        <w:br w:type="page"/>
      </w:r>
    </w:p>
    <w:p>
      <w:pPr>
        <w:spacing w:after="160" w:line="360" w:lineRule="auto"/>
        <w:jc w:val="left"/>
      </w:pPr>
      <w:r>
        <w:rPr>
          <w:rFonts w:ascii="Bookman Old Style" w:hAnsi="Bookman Old Style" w:cs="Bookman Old Style" w:eastAsia="Bookman Old Style"/>
          <w:b/>
          <w:sz w:val="28"/>
          <w:u w:val="single"/>
        </w:rPr>
        <w:t>3.1  Research Design</w:t>
      </w:r>
    </w:p>
    <w:p>
      <w:pPr>
        <w:spacing w:line="360" w:lineRule="auto"/>
        <w:jc w:val="both"/>
      </w:pPr>
      <w:r>
        <w:rPr>
          <w:rFonts w:ascii="Bookman Old Style" w:hAnsi="Bookman Old Style" w:cs="Bookman Old Style" w:eastAsia="Bookman Old Style"/>
          <w:b w:val="0"/>
          <w:sz w:val="24"/>
        </w:rPr>
        <w:t>The study adopts a quantitative, controlled-comparison design with a matched-pair structure. Two claim-verification pipelines are built on top of an identical evidence store: a Single-Agent RAG baseline that retrieves passages from ChromaDB and asks a single language model invocation to judge a claim, and the proposed Multi-Agent pipeline that additionally enforces atomisation and blinded checking through three further specialised agents. Both pipelines are evaluated on the same probe set drawn from the same set of legal cases, so that the only variable factor between the two arms of the experiment is the inference architecture.</w:t>
      </w:r>
    </w:p>
    <w:p>
      <w:pPr>
        <w:spacing w:line="360" w:lineRule="auto"/>
        <w:jc w:val="both"/>
      </w:pPr>
      <w:r>
        <w:rPr>
          <w:rFonts w:ascii="Bookman Old Style" w:hAnsi="Bookman Old Style" w:cs="Bookman Old Style" w:eastAsia="Bookman Old Style"/>
          <w:b w:val="0"/>
          <w:sz w:val="24"/>
        </w:rPr>
        <w:t>Per case, two probes are emitted: one TRUE probe whose claim is grounded in the case Details, and one FALSE probe in which a fabricated case citation has been deterministically appended. The FALSE probe is a known-bad input whose ground-truth label is established by construction; the TRUE probe is a known-good input whose ground-truth label is established by the underlying corpus. Treating FALSE probes as the positive class for hallucination detection yields a clean binary classification setup whose 2×2 confusion matrix can be analysed with the standard metrics. The matched-pair structure also enables paired statistical tests such as McNemar’s exact test when the sample size warrants them.</w:t>
      </w:r>
    </w:p>
    <w:p>
      <w:pPr>
        <w:spacing w:line="360" w:lineRule="auto"/>
        <w:jc w:val="both"/>
      </w:pPr>
      <w:r>
        <w:rPr>
          <w:rFonts w:ascii="Bookman Old Style" w:hAnsi="Bookman Old Style" w:cs="Bookman Old Style" w:eastAsia="Bookman Old Style"/>
          <w:b w:val="0"/>
          <w:sz w:val="24"/>
        </w:rPr>
        <w:t>The design deliberately rejects two alternative formulations. A regeneration design — in which the original prompts that produced the documented hallucinations would be replayed against both pipelines — was considered but discarded because the original prompts are not part of the dataset, only the resulting hallucinations and their court-determined consequences. A pure detection design — in which only known FALSE claims are scored — was also rejected because it cannot measure the false-positive rate of either pipeline on legitimate claims, which is critical for real-world deployability.</w:t>
      </w:r>
    </w:p>
    <w:p>
      <w:r>
        <w:br w:type="page"/>
      </w:r>
    </w:p>
    <w:p>
      <w:pPr>
        <w:spacing w:after="160" w:line="360" w:lineRule="auto"/>
        <w:jc w:val="left"/>
      </w:pPr>
      <w:r>
        <w:rPr>
          <w:rFonts w:ascii="Bookman Old Style" w:hAnsi="Bookman Old Style" w:cs="Bookman Old Style" w:eastAsia="Bookman Old Style"/>
          <w:b/>
          <w:sz w:val="28"/>
          <w:u w:val="single"/>
        </w:rPr>
        <w:t>3.2  Data Collection Methods</w:t>
      </w:r>
    </w:p>
    <w:p>
      <w:pPr>
        <w:spacing w:line="360" w:lineRule="auto"/>
        <w:jc w:val="both"/>
      </w:pPr>
      <w:r>
        <w:rPr>
          <w:rFonts w:ascii="Bookman Old Style" w:hAnsi="Bookman Old Style" w:cs="Bookman Old Style" w:eastAsia="Bookman Old Style"/>
          <w:b w:val="0"/>
          <w:sz w:val="24"/>
        </w:rPr>
        <w:t>The empirical corpus is the AI Hallucination Cases dataset compiled by Mr. Damien Charlotin and distributed on the Kaggle platform under the slug umerhaddii/ai-hallucination-cases-data-2025 (citation [7] in the References). It is provided as a single Comma-Separated Values file containing four hundred and twenty-six court matters, with one row per ruling and fourteen columns describing case identity, party, AI tool, the nature of the hallucination, the outcome and the source URL of the ruling itself.</w:t>
      </w:r>
    </w:p>
    <w:p>
      <w:pPr>
        <w:spacing w:line="360" w:lineRule="auto"/>
        <w:jc w:val="both"/>
      </w:pPr>
      <w:r>
        <w:rPr>
          <w:rFonts w:ascii="Bookman Old Style" w:hAnsi="Bookman Old Style" w:cs="Bookman Old Style" w:eastAsia="Bookman Old Style"/>
          <w:b w:val="0"/>
          <w:sz w:val="24"/>
        </w:rPr>
        <w:t>The dataset has been downloaded from Kaggle and placed under the data/ directory of the project repository. It is excluded from version control via the .gitignore so that the publisher’s licence terms are respected; collaborators are expected to download their own copy. Ingestion of the CSV into the local evidence store is fully scripted and is described in Section 3.4 and Section 3.9.</w:t>
      </w:r>
    </w:p>
    <w:p>
      <w:pPr>
        <w:spacing w:line="360" w:lineRule="auto"/>
        <w:jc w:val="both"/>
      </w:pPr>
      <w:r>
        <w:rPr>
          <w:rFonts w:ascii="Bookman Old Style" w:hAnsi="Bookman Old Style" w:cs="Bookman Old Style" w:eastAsia="Bookman Old Style"/>
          <w:b w:val="0"/>
          <w:sz w:val="24"/>
        </w:rPr>
        <w:t>Beyond the Charlotin dataset, the literature review draws on academic surveys, conference papers, pre-prints, working group reports and online resources. Each of these sources is itemised in the consolidated References list so that the reader may follow up directly. No proprietary or paywalled data has been used in the empirical evaluation.</w:t>
      </w:r>
    </w:p>
    <w:p>
      <w:r>
        <w:br w:type="page"/>
      </w:r>
    </w:p>
    <w:p>
      <w:pPr>
        <w:spacing w:after="160" w:line="360" w:lineRule="auto"/>
        <w:jc w:val="left"/>
      </w:pPr>
      <w:r>
        <w:rPr>
          <w:rFonts w:ascii="Bookman Old Style" w:hAnsi="Bookman Old Style" w:cs="Bookman Old Style" w:eastAsia="Bookman Old Style"/>
          <w:b/>
          <w:sz w:val="28"/>
          <w:u w:val="single"/>
        </w:rPr>
        <w:t>3.3  Dataset Description</w:t>
      </w:r>
    </w:p>
    <w:p>
      <w:pPr>
        <w:spacing w:line="360" w:lineRule="auto"/>
        <w:jc w:val="both"/>
      </w:pPr>
      <w:r>
        <w:rPr>
          <w:rFonts w:ascii="Bookman Old Style" w:hAnsi="Bookman Old Style" w:cs="Bookman Old Style" w:eastAsia="Bookman Old Style"/>
          <w:b w:val="0"/>
          <w:sz w:val="24"/>
        </w:rPr>
        <w:t>Each row of the Charlotin dataset includes the following columns: Case Name, Court, State(s), Date, Party(ies), AI Tool, Hallucination, Outcome, Monetary Penalty, Professional Sanction, Key Principle, Pointer, Source and Details.</w:t>
      </w:r>
    </w:p>
    <w:p>
      <w:pPr>
        <w:spacing w:line="360" w:lineRule="auto"/>
        <w:jc w:val="both"/>
      </w:pPr>
      <w:r>
        <w:rPr>
          <w:rFonts w:ascii="Bookman Old Style" w:hAnsi="Bookman Old Style" w:cs="Bookman Old Style" w:eastAsia="Bookman Old Style"/>
          <w:b w:val="0"/>
          <w:sz w:val="24"/>
        </w:rPr>
        <w:t>After filtering for rows with a non-empty Hallucination description and a Details field exceeding one hundred characters, two hundred and forty-three rows are retained as the working corpus. The 100-character lower bound on Details is calibrated so that retrieval passages contain enough textual content for the embedding model to produce useful nearest-neighbour matches; rows below the threshold are too short to discriminate.</w:t>
      </w:r>
    </w:p>
    <w:p>
      <w:pPr>
        <w:spacing w:line="360" w:lineRule="auto"/>
        <w:jc w:val="both"/>
      </w:pPr>
      <w:r>
        <w:rPr>
          <w:rFonts w:ascii="Bookman Old Style" w:hAnsi="Bookman Old Style" w:cs="Bookman Old Style" w:eastAsia="Bookman Old Style"/>
          <w:b w:val="0"/>
          <w:sz w:val="24"/>
        </w:rPr>
        <w:t>The Hallucination column captures the failure mode of the AI tool in human-readable form. Common values include ‘fabricated citations (case law)’, ‘false quotation’, ‘misrepresented precedent’, ‘fabricated regulatory clause’ and ‘non-existent academic authority’. The Details column narrates the factual record of the proceeding in the court’s own words, sometimes quoting the offending brief verbatim. The Outcome column describes the disposition (sanction, dismissal, referral to the state Bar) and the Monetary Penalty column quantifies the fine where applicable.</w:t>
      </w:r>
    </w:p>
    <w:p>
      <w:pPr>
        <w:spacing w:line="360" w:lineRule="auto"/>
        <w:jc w:val="both"/>
      </w:pPr>
      <w:r>
        <w:rPr>
          <w:rFonts w:ascii="Bookman Old Style" w:hAnsi="Bookman Old Style" w:cs="Bookman Old Style" w:eastAsia="Bookman Old Style"/>
          <w:b w:val="0"/>
          <w:sz w:val="24"/>
        </w:rPr>
        <w:t>This dual structure — descriptive Hallucination label plus narrative Details — is what enables the construction of paired TRUE / FALSE probes per case in Section 3.4. The TRUE probe draws from Details; the FALSE probe perturbs the TRUE probe with a fabricated citation drawn from a fixed pool of plausible-looking but non-existent case names and reporter citations.</w:t>
      </w:r>
    </w:p>
    <w:p>
      <w:r>
        <w:br w:type="page"/>
      </w:r>
    </w:p>
    <w:p>
      <w:pPr>
        <w:spacing w:after="160" w:line="360" w:lineRule="auto"/>
        <w:jc w:val="left"/>
      </w:pPr>
      <w:r>
        <w:rPr>
          <w:rFonts w:ascii="Bookman Old Style" w:hAnsi="Bookman Old Style" w:cs="Bookman Old Style" w:eastAsia="Bookman Old Style"/>
          <w:b/>
          <w:sz w:val="28"/>
          <w:u w:val="single"/>
        </w:rPr>
        <w:t>3.4  Data Preprocessing Techniques</w:t>
      </w:r>
    </w:p>
    <w:p>
      <w:pPr>
        <w:spacing w:line="360" w:lineRule="auto"/>
        <w:jc w:val="both"/>
      </w:pPr>
      <w:r>
        <w:rPr>
          <w:rFonts w:ascii="Bookman Old Style" w:hAnsi="Bookman Old Style" w:cs="Bookman Old Style" w:eastAsia="Bookman Old Style"/>
          <w:b w:val="0"/>
          <w:sz w:val="24"/>
        </w:rPr>
        <w:t>Preprocessing is deliberately conservative to preserve the fidelity of the source corpus and to minimise the surface area of implementation choices that could obscure the architectural comparison.</w:t>
      </w:r>
    </w:p>
    <w:p>
      <w:pPr>
        <w:spacing w:line="360" w:lineRule="auto"/>
        <w:jc w:val="both"/>
      </w:pPr>
      <w:r>
        <w:rPr>
          <w:rFonts w:ascii="Bookman Old Style" w:hAnsi="Bookman Old Style" w:cs="Bookman Old Style" w:eastAsia="Bookman Old Style"/>
          <w:b w:val="0"/>
          <w:sz w:val="24"/>
        </w:rPr>
        <w:t>Whitespace normalisation collapses repeated spaces and line breaks into single spaces. Case identifiers are auto-generated as case_0000 through case_0242, in the order in which the rows appear after filtering. Each row is serialised into a single retrieval-friendly document that interleaves Case Name, Court, State, Date, Party, AI Tool, Outcome and Details fields, providing the embedding model with sufficient surrounding context to disambiguate similar matters that might otherwise produce nearly identical embeddings.</w:t>
      </w:r>
    </w:p>
    <w:p>
      <w:pPr>
        <w:spacing w:line="360" w:lineRule="auto"/>
        <w:jc w:val="both"/>
      </w:pPr>
      <w:r>
        <w:rPr>
          <w:rFonts w:ascii="Bookman Old Style" w:hAnsi="Bookman Old Style" w:cs="Bookman Old Style" w:eastAsia="Bookman Old Style"/>
          <w:b w:val="0"/>
          <w:sz w:val="24"/>
        </w:rPr>
        <w:t>Probe generation is encapsulated in evaluation/generate_probes.py. For each sampled case the first sentence of Details yields a TRUE claim, while the same sentence appended with a deterministically selected fabricated citation yields the matched FALSE claim. The fabricated citations are drawn from a fixed list of plausible-looking but non-existent case names and reporter citations such as ‘Whitmore v. Ardant, 612 F.3d 441 (9th Cir. 2019)’ and ‘State v. Delgado-Hoyt, 284 Conn. 112 (2021)’; these citations do not appear anywhere in the evidence store and so a correctly-behaving fact-checker must flag any claim that depends on them.</w:t>
      </w:r>
    </w:p>
    <w:p>
      <w:pPr>
        <w:spacing w:line="360" w:lineRule="auto"/>
        <w:jc w:val="both"/>
      </w:pPr>
      <w:r>
        <w:rPr>
          <w:rFonts w:ascii="Bookman Old Style" w:hAnsi="Bookman Old Style" w:cs="Bookman Old Style" w:eastAsia="Bookman Old Style"/>
          <w:b w:val="0"/>
          <w:sz w:val="24"/>
        </w:rPr>
        <w:t>A fixed random seed in the probe generator guarantees byte-level reproducibility of the probe set; running the generator with the same seed and the same dataset CSV produces the same probe JSON-Lines file. This reproducibility is essential for the controlled-comparison design described in Section 3.1 and for the statistical analysis in Chapter 4.</w:t>
      </w:r>
    </w:p>
    <w:p>
      <w:r>
        <w:br w:type="page"/>
      </w:r>
    </w:p>
    <w:p>
      <w:pPr>
        <w:spacing w:after="160" w:line="360" w:lineRule="auto"/>
        <w:jc w:val="left"/>
      </w:pPr>
      <w:r>
        <w:rPr>
          <w:rFonts w:ascii="Bookman Old Style" w:hAnsi="Bookman Old Style" w:cs="Bookman Old Style" w:eastAsia="Bookman Old Style"/>
          <w:b/>
          <w:sz w:val="28"/>
          <w:u w:val="single"/>
        </w:rPr>
        <w:t>3.5  Tools and Technologies Used</w:t>
      </w:r>
    </w:p>
    <w:p>
      <w:pPr>
        <w:spacing w:line="360" w:lineRule="auto"/>
        <w:jc w:val="both"/>
      </w:pPr>
      <w:r>
        <w:rPr>
          <w:rFonts w:ascii="Bookman Old Style" w:hAnsi="Bookman Old Style" w:cs="Bookman Old Style" w:eastAsia="Bookman Old Style"/>
          <w:b w:val="0"/>
          <w:sz w:val="24"/>
        </w:rPr>
        <w:t>The implementation stack was deliberately chosen to be open-source, locally executable, and free of vendor lock-in. The selection balances research-quality affordance with the Green AI deployment constraint articulated in Sections 1.4 and 1.6.</w:t>
      </w:r>
    </w:p>
    <w:p>
      <w:pPr>
        <w:pStyle w:val="ListBullet"/>
        <w:spacing w:line="360" w:lineRule="auto"/>
        <w:jc w:val="both"/>
      </w:pPr>
      <w:r>
        <w:rPr>
          <w:rFonts w:ascii="Bookman Old Style" w:hAnsi="Bookman Old Style" w:cs="Bookman Old Style" w:eastAsia="Bookman Old Style"/>
          <w:b w:val="0"/>
          <w:sz w:val="24"/>
        </w:rPr>
        <w:t>Python 3.10 or later as the primary implementation language, in line with the broader scientific computing ecosystem.</w:t>
      </w:r>
    </w:p>
    <w:p>
      <w:pPr>
        <w:pStyle w:val="ListBullet"/>
        <w:spacing w:line="360" w:lineRule="auto"/>
        <w:jc w:val="both"/>
      </w:pPr>
      <w:r>
        <w:rPr>
          <w:rFonts w:ascii="Bookman Old Style" w:hAnsi="Bookman Old Style" w:cs="Bookman Old Style" w:eastAsia="Bookman Old Style"/>
          <w:b w:val="0"/>
          <w:sz w:val="24"/>
        </w:rPr>
        <w:t>FastAPI and Uvicorn for the optional REST interface that exposes the compiled multi-agent graph as an /ask endpoint.</w:t>
      </w:r>
    </w:p>
    <w:p>
      <w:pPr>
        <w:pStyle w:val="ListBullet"/>
        <w:spacing w:line="360" w:lineRule="auto"/>
        <w:jc w:val="both"/>
      </w:pPr>
      <w:r>
        <w:rPr>
          <w:rFonts w:ascii="Bookman Old Style" w:hAnsi="Bookman Old Style" w:cs="Bookman Old Style" w:eastAsia="Bookman Old Style"/>
          <w:b w:val="0"/>
          <w:sz w:val="24"/>
        </w:rPr>
        <w:t>LangChain and LangGraph for declarative agent orchestration and explicit shared-state management.</w:t>
      </w:r>
    </w:p>
    <w:p>
      <w:pPr>
        <w:pStyle w:val="ListBullet"/>
        <w:spacing w:line="360" w:lineRule="auto"/>
        <w:jc w:val="both"/>
      </w:pPr>
      <w:r>
        <w:rPr>
          <w:rFonts w:ascii="Bookman Old Style" w:hAnsi="Bookman Old Style" w:cs="Bookman Old Style" w:eastAsia="Bookman Old Style"/>
          <w:b w:val="0"/>
          <w:sz w:val="24"/>
        </w:rPr>
        <w:t>The Ollama runtime, which serves the quantised llama3.1 model (approximately 4.9 GB on disk) over a local HTTP API on port 11434.</w:t>
      </w:r>
    </w:p>
    <w:p>
      <w:pPr>
        <w:pStyle w:val="ListBullet"/>
        <w:spacing w:line="360" w:lineRule="auto"/>
        <w:jc w:val="both"/>
      </w:pPr>
      <w:r>
        <w:rPr>
          <w:rFonts w:ascii="Bookman Old Style" w:hAnsi="Bookman Old Style" w:cs="Bookman Old Style" w:eastAsia="Bookman Old Style"/>
          <w:b w:val="0"/>
          <w:sz w:val="24"/>
        </w:rPr>
        <w:t>Hugging Face Sentence-Transformers, specifically the all-MiniLM-L6-v2 encoder, for fast CPU-friendly dense embeddings (citation [63]).</w:t>
      </w:r>
    </w:p>
    <w:p>
      <w:pPr>
        <w:pStyle w:val="ListBullet"/>
        <w:spacing w:line="360" w:lineRule="auto"/>
        <w:jc w:val="both"/>
      </w:pPr>
      <w:r>
        <w:rPr>
          <w:rFonts w:ascii="Bookman Old Style" w:hAnsi="Bookman Old Style" w:cs="Bookman Old Style" w:eastAsia="Bookman Old Style"/>
          <w:b w:val="0"/>
          <w:sz w:val="24"/>
        </w:rPr>
        <w:t>ChromaDB as the persistent dense vector store, configured with on-disk persistence under ./chroma_db.</w:t>
      </w:r>
    </w:p>
    <w:p>
      <w:pPr>
        <w:pStyle w:val="ListBullet"/>
        <w:spacing w:line="360" w:lineRule="auto"/>
        <w:jc w:val="both"/>
      </w:pPr>
      <w:r>
        <w:rPr>
          <w:rFonts w:ascii="Bookman Old Style" w:hAnsi="Bookman Old Style" w:cs="Bookman Old Style" w:eastAsia="Bookman Old Style"/>
          <w:b w:val="0"/>
          <w:sz w:val="24"/>
        </w:rPr>
        <w:t>Neo4j Community Edition (2026.x) as the property graph store, configured over the default Bolt protocol on port 7687.</w:t>
      </w:r>
    </w:p>
    <w:p>
      <w:pPr>
        <w:pStyle w:val="ListBullet"/>
        <w:spacing w:line="360" w:lineRule="auto"/>
        <w:jc w:val="both"/>
      </w:pPr>
      <w:r>
        <w:rPr>
          <w:rFonts w:ascii="Bookman Old Style" w:hAnsi="Bookman Old Style" w:cs="Bookman Old Style" w:eastAsia="Bookman Old Style"/>
          <w:b w:val="0"/>
          <w:sz w:val="24"/>
        </w:rPr>
        <w:t>pandas for tabular data manipulation, both at ingestion time and during metrics computation.</w:t>
      </w:r>
    </w:p>
    <w:p>
      <w:pPr>
        <w:pStyle w:val="ListBullet"/>
        <w:spacing w:line="360" w:lineRule="auto"/>
        <w:jc w:val="both"/>
      </w:pPr>
      <w:r>
        <w:rPr>
          <w:rFonts w:ascii="Bookman Old Style" w:hAnsi="Bookman Old Style" w:cs="Bookman Old Style" w:eastAsia="Bookman Old Style"/>
          <w:b w:val="0"/>
          <w:sz w:val="24"/>
        </w:rPr>
        <w:t>pytest, sphinx-style docstrings and standard Python tooling for code quality and documentation.</w:t>
      </w:r>
    </w:p>
    <w:p>
      <w:pPr>
        <w:pStyle w:val="ListBullet"/>
        <w:spacing w:line="360" w:lineRule="auto"/>
        <w:jc w:val="both"/>
      </w:pPr>
      <w:r>
        <w:rPr>
          <w:rFonts w:ascii="Bookman Old Style" w:hAnsi="Bookman Old Style" w:cs="Bookman Old Style" w:eastAsia="Bookman Old Style"/>
          <w:b w:val="0"/>
          <w:sz w:val="24"/>
        </w:rPr>
        <w:t>Git and GitHub for version control and public release of the reference implementation.</w:t>
      </w:r>
    </w:p>
    <w:p>
      <w:r>
        <w:br w:type="page"/>
      </w:r>
    </w:p>
    <w:p>
      <w:pPr>
        <w:spacing w:after="160" w:line="360" w:lineRule="auto"/>
        <w:jc w:val="left"/>
      </w:pPr>
      <w:r>
        <w:rPr>
          <w:rFonts w:ascii="Bookman Old Style" w:hAnsi="Bookman Old Style" w:cs="Bookman Old Style" w:eastAsia="Bookman Old Style"/>
          <w:b/>
          <w:sz w:val="28"/>
          <w:u w:val="single"/>
        </w:rPr>
        <w:t>3.6  Proposed Methodology / Model</w:t>
      </w:r>
    </w:p>
    <w:p>
      <w:pPr>
        <w:spacing w:line="360" w:lineRule="auto"/>
        <w:jc w:val="both"/>
      </w:pPr>
      <w:r>
        <w:rPr>
          <w:rFonts w:ascii="Bookman Old Style" w:hAnsi="Bookman Old Style" w:cs="Bookman Old Style" w:eastAsia="Bookman Old Style"/>
          <w:b w:val="0"/>
          <w:sz w:val="24"/>
        </w:rPr>
        <w:t>The proposed system instantiates four specialised LangGraph nodes that share a typed WorkflowState. Information asymmetry is enforced by the static graph itself: each node’s function signature reads only the keys appropriate to its role, and the LangGraph compiler rejects any node that attempts to read a key it has not declared. This is a structural guarantee, not a prompt-level convention, and is the central architectural contribution of this dissertation.</w:t>
      </w:r>
    </w:p>
    <w:p>
      <w:pPr>
        <w:spacing w:line="360" w:lineRule="auto"/>
        <w:jc w:val="both"/>
      </w:pPr>
      <w:r>
        <w:rPr>
          <w:rFonts w:ascii="Bookman Old Style" w:hAnsi="Bookman Old Style" w:cs="Bookman Old Style" w:eastAsia="Bookman Old Style"/>
          <w:b w:val="0"/>
          <w:sz w:val="24"/>
        </w:rPr>
        <w:t>The Retrieve node fetches the top-k Chroma documents for the input claim using cosine similarity over the dense MiniLM embeddings, and queries Neo4j for the structured facts associated with the matched documents. The query joins the (:Case)-[:IN_COURT]-&gt;(:Court), (:Case)-[:INVOLVED]-&gt;(:Party), (:Case)-[:USED]-&gt;(:AITool) and (:Case)-[:EXHIBITED]-&gt;(:HallucinationType) relationships described in Section 3.9, returning a small Cypher-rendered subgraph that is stringified into the retrieval context.</w:t>
      </w:r>
    </w:p>
    <w:p>
      <w:pPr>
        <w:spacing w:line="360" w:lineRule="auto"/>
        <w:jc w:val="both"/>
      </w:pPr>
      <w:r>
        <w:rPr>
          <w:rFonts w:ascii="Bookman Old Style" w:hAnsi="Bookman Old Style" w:cs="Bookman Old Style" w:eastAsia="Bookman Old Style"/>
          <w:b w:val="0"/>
          <w:sz w:val="24"/>
        </w:rPr>
        <w:t>The Solver node drafts a fluent narrative answer using both contexts at temperature 0.7 to obtain a fluent response. It is the only node in the pipeline that operates at non-zero temperature, and is therefore the node most prone to introducing hallucinations.</w:t>
      </w:r>
    </w:p>
    <w:p>
      <w:pPr>
        <w:spacing w:line="360" w:lineRule="auto"/>
        <w:jc w:val="both"/>
      </w:pPr>
      <w:r>
        <w:rPr>
          <w:rFonts w:ascii="Bookman Old Style" w:hAnsi="Bookman Old Style" w:cs="Bookman Old Style" w:eastAsia="Bookman Old Style"/>
          <w:b w:val="0"/>
          <w:sz w:val="24"/>
        </w:rPr>
        <w:t>The Proposer node atomises the Solver’s narrative into a list of discrete (question, answer) pairs at temperature 0.0 with strict JSON output. The Proposer is forced into a Pydantic-validated schema so that downstream consumers can iterate over its output deterministically.</w:t>
      </w:r>
    </w:p>
    <w:p>
      <w:pPr>
        <w:spacing w:line="360" w:lineRule="auto"/>
        <w:jc w:val="both"/>
      </w:pPr>
      <w:r>
        <w:rPr>
          <w:rFonts w:ascii="Bookman Old Style" w:hAnsi="Bookman Old Style" w:cs="Bookman Old Style" w:eastAsia="Bookman Old Style"/>
          <w:b w:val="0"/>
          <w:sz w:val="24"/>
        </w:rPr>
        <w:t>The Checker node receives only the atomised claims and the raw evidence — never the Solver’s prose — and adjudicates each claim independently at temperature 0.0 with strict JSON output. The Checker’s prompt explicitly instructs the model to rely on the raw evidence alone and to flag any claim whose supporting fact is not present. A confidence score is computed from the per-claim verdict ratio.</w:t>
      </w:r>
    </w:p>
    <w:p>
      <w:pPr>
        <w:spacing w:line="360" w:lineRule="auto"/>
        <w:jc w:val="both"/>
      </w:pPr>
      <w:r>
        <w:rPr>
          <w:rFonts w:ascii="Bookman Old Style" w:hAnsi="Bookman Old Style" w:cs="Bookman Old Style" w:eastAsia="Bookman Old Style"/>
          <w:b w:val="0"/>
          <w:sz w:val="24"/>
        </w:rPr>
        <w:t>The Synthesizer node either returns the Solver’s draft when the Checker reports no hallucinations, or rewrites it after stripping the unsupported claims when the Checker reports at least one hallucination. The final output of the pipeline is therefore guaranteed to be either the original draft or a sanitised version thereof.</w:t>
      </w:r>
    </w:p>
    <w:p>
      <w:pPr>
        <w:spacing w:line="360" w:lineRule="auto"/>
        <w:jc w:val="both"/>
      </w:pPr>
      <w:r>
        <w:rPr>
          <w:rFonts w:ascii="Bookman Old Style" w:hAnsi="Bookman Old Style" w:cs="Bookman Old Style" w:eastAsia="Bookman Old Style"/>
          <w:b w:val="0"/>
          <w:sz w:val="24"/>
        </w:rPr>
        <w:t>Mathematically, the consensus estimate produced by the pipeline can be expressed as a confidence-weighted aggregation of agent verdicts. For each claim c_i extracted by the Proposer, let v_i ∈ {0, 1} denote the Checker’s binary verdict (0 = supported, 1 = hallucination), let w_i ∈ [0, 1] denote the Checker’s instantaneous self-certainty for that claim, and let r be a longitudinal reliability scalar for the Checker. The pipeline’s overall hallucination flag H is then defined as H = 1 if Σᵢ rᵢ wᵢ vᵢ ⁄ Σᵢ rᵢ wᵢ exceeds a threshold τ, otherwise H = 0. In the present implementation r is a constant (the agents do not yet have a longitudinal reliability profile) and τ = 0; the formulation is left in this generality so that future work can drop in a calibration head without touching the orchestration graph.</w:t>
      </w:r>
    </w:p>
    <w:p>
      <w:r>
        <w:br w:type="page"/>
      </w:r>
    </w:p>
    <w:p>
      <w:pPr>
        <w:spacing w:after="160" w:line="360" w:lineRule="auto"/>
        <w:jc w:val="left"/>
      </w:pPr>
      <w:r>
        <w:rPr>
          <w:rFonts w:ascii="Bookman Old Style" w:hAnsi="Bookman Old Style" w:cs="Bookman Old Style" w:eastAsia="Bookman Old Style"/>
          <w:b/>
          <w:sz w:val="28"/>
          <w:u w:val="single"/>
        </w:rPr>
        <w:t>3.7  Model Development</w:t>
      </w:r>
    </w:p>
    <w:p>
      <w:pPr>
        <w:spacing w:line="360" w:lineRule="auto"/>
        <w:jc w:val="both"/>
      </w:pPr>
      <w:r>
        <w:rPr>
          <w:rFonts w:ascii="Bookman Old Style" w:hAnsi="Bookman Old Style" w:cs="Bookman Old Style" w:eastAsia="Bookman Old Style"/>
          <w:b w:val="0"/>
          <w:sz w:val="24"/>
        </w:rPr>
        <w:t>All language model calls target a locally-served Ollama instance via the LangChain ChatOllama interface. The Solver runs at temperature 0.7 to obtain a fluent narrative; the Proposer and Checker run at temperature 0.0 with format="json" to obtain deterministic, machine-parseable outputs. Pydantic schemas validate the JSON contracts at the boundary of each node so that downstream consumers can rely on the structure even when the underlying model occasionally violates its instructions.</w:t>
      </w:r>
    </w:p>
    <w:p>
      <w:pPr>
        <w:spacing w:line="360" w:lineRule="auto"/>
        <w:jc w:val="both"/>
      </w:pPr>
      <w:r>
        <w:rPr>
          <w:rFonts w:ascii="Bookman Old Style" w:hAnsi="Bookman Old Style" w:cs="Bookman Old Style" w:eastAsia="Bookman Old Style"/>
          <w:b w:val="0"/>
          <w:sz w:val="24"/>
        </w:rPr>
        <w:t>Defensive programming is applied at every JSON parse boundary. If the model emits malformed JSON, the parser falls back to a regular-expression extraction that captures any sub-string delimited by braces; if that also fails, the affected claim is marked as ‘hallucination = True, evidence = parse_fail’ rather than crashing the pipeline. This conservative default preserves the false-negative rate at the cost of the false-positive rate, which is the correct trade-off for a fact-checking application.</w:t>
      </w:r>
    </w:p>
    <w:p>
      <w:pPr>
        <w:spacing w:line="360" w:lineRule="auto"/>
        <w:jc w:val="both"/>
      </w:pPr>
      <w:r>
        <w:rPr>
          <w:rFonts w:ascii="Bookman Old Style" w:hAnsi="Bookman Old Style" w:cs="Bookman Old Style" w:eastAsia="Bookman Old Style"/>
          <w:b w:val="0"/>
          <w:sz w:val="24"/>
        </w:rPr>
        <w:t>The baseline pipeline (evaluation/baseline.py) is a deliberately minimal single-prompt implementation: retrieve k=3 Chroma documents and ask the language model to emit a single JSON object with keys is_hallucination and evidence. This isolates the architectural contribution of the multi-agent design from any prompt-engineering advantage and ensures that the comparison in Chapter 4 is apples-to-apples.</w:t>
      </w:r>
    </w:p>
    <w:p>
      <w:pPr>
        <w:spacing w:line="360" w:lineRule="auto"/>
        <w:jc w:val="both"/>
      </w:pPr>
      <w:r>
        <w:rPr>
          <w:rFonts w:ascii="Bookman Old Style" w:hAnsi="Bookman Old Style" w:cs="Bookman Old Style" w:eastAsia="Bookman Old Style"/>
          <w:b w:val="0"/>
          <w:sz w:val="24"/>
        </w:rPr>
        <w:t>All randomness is seeded. Probe generation uses a fixed random seed of 42; ChatOllama temperature settings are explicitly set rather than relying on defaults; embeddings are deterministic by construction. The only remaining source of non-determinism in the pipeline is the language model itself, whose outputs at non-zero temperature are stochastic; this is acknowledged in Chapter 5 as a residual source of variance.</w:t>
      </w:r>
    </w:p>
    <w:p>
      <w:r>
        <w:br w:type="page"/>
      </w:r>
    </w:p>
    <w:p>
      <w:pPr>
        <w:spacing w:after="160" w:line="360" w:lineRule="auto"/>
        <w:jc w:val="left"/>
      </w:pPr>
      <w:r>
        <w:rPr>
          <w:rFonts w:ascii="Bookman Old Style" w:hAnsi="Bookman Old Style" w:cs="Bookman Old Style" w:eastAsia="Bookman Old Style"/>
          <w:b/>
          <w:sz w:val="28"/>
          <w:u w:val="single"/>
        </w:rPr>
        <w:t>3.8  Model Evaluation – Evaluation Metrics</w:t>
      </w:r>
    </w:p>
    <w:p>
      <w:pPr>
        <w:spacing w:line="360" w:lineRule="auto"/>
        <w:jc w:val="both"/>
      </w:pPr>
      <w:r>
        <w:rPr>
          <w:rFonts w:ascii="Bookman Old Style" w:hAnsi="Bookman Old Style" w:cs="Bookman Old Style" w:eastAsia="Bookman Old Style"/>
          <w:b w:val="0"/>
          <w:sz w:val="24"/>
        </w:rPr>
        <w:t>Four metrics are reported per pipeline. Treating the FALSE-citation probes as the positive class — that is, the class that should be flagged by a correctly-behaving system — the standard 2×2 confusion matrix is constructed: true positives (TP) are FALSE probes correctly flagged, true negatives (TN) are TRUE probes correctly accepted, false positives (FP) are TRUE probes incorrectly flagged, and false negatives (FN) are FALSE probes incorrectly accepted.</w:t>
      </w:r>
    </w:p>
    <w:p>
      <w:pPr>
        <w:spacing w:line="360" w:lineRule="auto"/>
        <w:jc w:val="both"/>
      </w:pPr>
      <w:r>
        <w:rPr>
          <w:rFonts w:ascii="Bookman Old Style" w:hAnsi="Bookman Old Style" w:cs="Bookman Old Style" w:eastAsia="Bookman Old Style"/>
          <w:b w:val="0"/>
          <w:sz w:val="24"/>
        </w:rPr>
        <w:t>From this matrix the following metrics are computed: Accuracy = (TP + TN) / (TP + TN + FP + FN); Precision = TP / (TP + FP); Recall = TP / (TP + FN); and F1 = 2 · Precision · Recall / (Precision + Recall). All four metrics are reported to four decimal places in results/metrics.csv.</w:t>
      </w:r>
    </w:p>
    <w:p>
      <w:pPr>
        <w:spacing w:line="360" w:lineRule="auto"/>
        <w:jc w:val="both"/>
      </w:pPr>
      <w:r>
        <w:rPr>
          <w:rFonts w:ascii="Bookman Old Style" w:hAnsi="Bookman Old Style" w:cs="Bookman Old Style" w:eastAsia="Bookman Old Style"/>
          <w:b w:val="0"/>
          <w:sz w:val="24"/>
        </w:rPr>
        <w:t>Mean per-probe latency is also recorded to characterise the cost of the multi-agent pipeline. Latency is measured at the wall-clock level around the call to the pipeline’s invoke method, and excludes the one-time startup cost of loading the embedding model and connecting to Neo4j.</w:t>
      </w:r>
    </w:p>
    <w:p>
      <w:pPr>
        <w:spacing w:line="360" w:lineRule="auto"/>
        <w:jc w:val="both"/>
      </w:pPr>
      <w:r>
        <w:rPr>
          <w:rFonts w:ascii="Bookman Old Style" w:hAnsi="Bookman Old Style" w:cs="Bookman Old Style" w:eastAsia="Bookman Old Style"/>
          <w:b w:val="0"/>
          <w:sz w:val="24"/>
        </w:rPr>
        <w:t>Significance testing across pipelines is performed by McNemar’s exact test on the matched binary outcomes when the sample size warrants it; with smaller smoke runs the raw counts are reported without an inferential layer to avoid over-claiming. The evaluation harness in evaluation/metrics.py is parametric in the input CSV and so can scale to larger benchmarks without code changes.</w:t>
      </w:r>
    </w:p>
    <w:p>
      <w:r>
        <w:br w:type="page"/>
      </w:r>
    </w:p>
    <w:p>
      <w:pPr>
        <w:spacing w:after="160" w:line="360" w:lineRule="auto"/>
        <w:jc w:val="left"/>
      </w:pPr>
      <w:r>
        <w:rPr>
          <w:rFonts w:ascii="Bookman Old Style" w:hAnsi="Bookman Old Style" w:cs="Bookman Old Style" w:eastAsia="Bookman Old Style"/>
          <w:b/>
          <w:sz w:val="28"/>
          <w:u w:val="single"/>
        </w:rPr>
        <w:t>3.9  Database Design</w:t>
      </w:r>
    </w:p>
    <w:p>
      <w:pPr>
        <w:spacing w:line="360" w:lineRule="auto"/>
        <w:jc w:val="both"/>
      </w:pPr>
      <w:r>
        <w:rPr>
          <w:rFonts w:ascii="Bookman Old Style" w:hAnsi="Bookman Old Style" w:cs="Bookman Old Style" w:eastAsia="Bookman Old Style"/>
          <w:b w:val="0"/>
          <w:sz w:val="24"/>
        </w:rPr>
        <w:t>Two stores back the system. ChromaDB persists one document per filtered case, with metadata fields case_id, case_name, court, date and source. The default cosine-similarity distance is used and embeddings are computed lazily on insertion using the all-MiniLM-L6-v2 model.</w:t>
      </w:r>
    </w:p>
    <w:p>
      <w:pPr>
        <w:spacing w:line="360" w:lineRule="auto"/>
        <w:jc w:val="both"/>
      </w:pPr>
      <w:r>
        <w:rPr>
          <w:rFonts w:ascii="Bookman Old Style" w:hAnsi="Bookman Old Style" w:cs="Bookman Old Style" w:eastAsia="Bookman Old Style"/>
          <w:b w:val="0"/>
          <w:sz w:val="24"/>
        </w:rPr>
        <w:t>Neo4j stores a normalised property graph with the following schema. The principal node label is :Case, with properties case_id, name, date, outcome and source. The supporting labels are :Court (with property name), :Party (with property name), :AITool (with property name) and :HallucinationType (with property name). The relationships connecting them are (:Case)-[:IN_COURT]-&gt;(:Court), (:Case)-[:INVOLVED]-&gt;(:Party), (:Case)-[:USED]-&gt;(:AITool) and (:Case)-[:EXHIBITED]-&gt;(:HallucinationType).</w:t>
      </w:r>
    </w:p>
    <w:p>
      <w:pPr>
        <w:spacing w:line="360" w:lineRule="auto"/>
        <w:jc w:val="both"/>
      </w:pPr>
      <w:r>
        <w:rPr>
          <w:rFonts w:ascii="Bookman Old Style" w:hAnsi="Bookman Old Style" w:cs="Bookman Old Style" w:eastAsia="Bookman Old Style"/>
          <w:b w:val="0"/>
          <w:sz w:val="24"/>
        </w:rPr>
        <w:t>All graph nodes carry a source property pinned to the dataset name ‘Charlotin-hallucination_cases’. The ingestion script begins with a MATCH (n) WHERE n.source = ‘Charlotin-hallucination_cases’ DETACH DELETE n statement so that the dataset namespace is wiped before reload. This idempotent design allows the same Neo4j instance to host multiple datasets without cross-contamination.</w:t>
      </w:r>
    </w:p>
    <w:p>
      <w:pPr>
        <w:spacing w:line="360" w:lineRule="auto"/>
        <w:jc w:val="both"/>
      </w:pPr>
      <w:r>
        <w:rPr>
          <w:rFonts w:ascii="Bookman Old Style" w:hAnsi="Bookman Old Style" w:cs="Bookman Old Style" w:eastAsia="Bookman Old Style"/>
          <w:b w:val="0"/>
          <w:sz w:val="24"/>
        </w:rPr>
        <w:t>Indexes are configured on Case.case_id and on the name property of every supporting label, which keeps look-ups in the Retrieve node sub-millisecond. The schema is intentionally shallow — three relationship types and five labels — so that Cypher queries from the agent layer remain readable and auditable.</w:t>
      </w:r>
    </w:p>
    <w:p>
      <w:r>
        <w:br w:type="page"/>
      </w:r>
    </w:p>
    <w:p>
      <w:pPr>
        <w:spacing w:after="160" w:line="360" w:lineRule="auto"/>
        <w:jc w:val="left"/>
      </w:pPr>
      <w:r>
        <w:rPr>
          <w:rFonts w:ascii="Bookman Old Style" w:hAnsi="Bookman Old Style" w:cs="Bookman Old Style" w:eastAsia="Bookman Old Style"/>
          <w:b/>
          <w:sz w:val="28"/>
          <w:u w:val="single"/>
        </w:rPr>
        <w:t>Chapter 4: Implementation &amp; Results</w:t>
      </w:r>
    </w:p>
    <w:p>
      <w:pPr>
        <w:spacing w:line="360" w:lineRule="auto"/>
        <w:jc w:val="both"/>
      </w:pPr>
      <w:r>
        <w:rPr>
          <w:rFonts w:ascii="Bookman Old Style" w:hAnsi="Bookman Old Style" w:cs="Bookman Old Style" w:eastAsia="Bookman Old Style"/>
          <w:b w:val="0"/>
          <w:sz w:val="24"/>
        </w:rPr>
        <w:t>This chapter reports the implementation of the system and the results of running both pipelines over the probe set derived from the Charlotin corpus. The implementation is described in sufficient detail that any reader with access to the project repository can reconstruct the experimental setup and reproduce the results.</w:t>
      </w:r>
    </w:p>
    <w:p>
      <w:r>
        <w:br w:type="page"/>
      </w:r>
    </w:p>
    <w:p>
      <w:pPr>
        <w:spacing w:after="160" w:line="360" w:lineRule="auto"/>
        <w:jc w:val="left"/>
      </w:pPr>
      <w:r>
        <w:rPr>
          <w:rFonts w:ascii="Bookman Old Style" w:hAnsi="Bookman Old Style" w:cs="Bookman Old Style" w:eastAsia="Bookman Old Style"/>
          <w:b/>
          <w:sz w:val="28"/>
          <w:u w:val="single"/>
        </w:rPr>
        <w:t>4.1  Implementation Details</w:t>
      </w:r>
    </w:p>
    <w:p>
      <w:pPr>
        <w:spacing w:line="360" w:lineRule="auto"/>
        <w:jc w:val="both"/>
      </w:pPr>
      <w:r>
        <w:rPr>
          <w:rFonts w:ascii="Bookman Old Style" w:hAnsi="Bookman Old Style" w:cs="Bookman Old Style" w:eastAsia="Bookman Old Style"/>
          <w:b w:val="0"/>
          <w:sz w:val="24"/>
        </w:rPr>
        <w:t>The repository is organised so that each concern lives in its own module. database_setup.py is a one-shot ingestion script that loads the Charlotin CSV into both ChromaDB and Neo4j, applying the preprocessing rules described in Section 3.4 and the schema described in Section 3.9. graph_workflow.py defines the four LangGraph nodes — Retrieve, Solver, Proposer, Checker, Synthesizer — and the compiled state graph. main.py exposes a FastAPI /ask endpoint over the compiled graph for interactive use. The evaluation/ package contains generate_probes.py, baseline.py, run_benchmark.py and metrics.py.</w:t>
      </w:r>
    </w:p>
    <w:p>
      <w:pPr>
        <w:spacing w:line="360" w:lineRule="auto"/>
        <w:jc w:val="both"/>
      </w:pPr>
      <w:r>
        <w:rPr>
          <w:rFonts w:ascii="Bookman Old Style" w:hAnsi="Bookman Old Style" w:cs="Bookman Old Style" w:eastAsia="Bookman Old Style"/>
          <w:b w:val="0"/>
          <w:sz w:val="24"/>
        </w:rPr>
        <w:t>The state graph is compiled once at process start-up and reused across all probes within a benchmark run; this amortises the fixed cost of LangGraph compilation. The Ollama client is similarly created once per process. ChromaDB and Neo4j connections are created lazily on first use and cached in module-level singletons.</w:t>
      </w:r>
    </w:p>
    <w:p>
      <w:pPr>
        <w:spacing w:line="360" w:lineRule="auto"/>
        <w:jc w:val="both"/>
      </w:pPr>
      <w:r>
        <w:rPr>
          <w:rFonts w:ascii="Bookman Old Style" w:hAnsi="Bookman Old Style" w:cs="Bookman Old Style" w:eastAsia="Bookman Old Style"/>
          <w:b w:val="0"/>
          <w:sz w:val="24"/>
        </w:rPr>
        <w:t>Reproducibility is supported by pinning random seeds in probe generation, by writing per-probe rows to results/benchmark_results.csv as the run progresses (so that a partial run is still analysable), and by checking generated artefacts into the repository under the docs/ and results/ directories. The full benchmark, including merge of the per-pipeline CSVs and computation of the final metrics, is exercised through a small set of command-line invocations documented in the repository README.</w:t>
      </w:r>
    </w:p>
    <w:p>
      <w:r>
        <w:br w:type="page"/>
      </w:r>
    </w:p>
    <w:p>
      <w:pPr>
        <w:spacing w:after="160" w:line="360" w:lineRule="auto"/>
        <w:jc w:val="left"/>
      </w:pPr>
      <w:r>
        <w:rPr>
          <w:rFonts w:ascii="Bookman Old Style" w:hAnsi="Bookman Old Style" w:cs="Bookman Old Style" w:eastAsia="Bookman Old Style"/>
          <w:b/>
          <w:sz w:val="28"/>
          <w:u w:val="single"/>
        </w:rPr>
        <w:t>4.2  Experimental Setup</w:t>
      </w:r>
    </w:p>
    <w:p>
      <w:pPr>
        <w:spacing w:line="360" w:lineRule="auto"/>
        <w:jc w:val="both"/>
      </w:pPr>
      <w:r>
        <w:rPr>
          <w:rFonts w:ascii="Bookman Old Style" w:hAnsi="Bookman Old Style" w:cs="Bookman Old Style" w:eastAsia="Bookman Old Style"/>
          <w:b w:val="0"/>
          <w:sz w:val="24"/>
        </w:rPr>
        <w:t>All experiments were executed on a single Apple-silicon workstation. Ollama served llama3.1 locally on port 11434 with the default 4.9 GB quantisation; Neo4j ran on the default Bolt port 7687 with the password configured for local development; ChromaDB persisted to the ./chroma_db directory.</w:t>
      </w:r>
    </w:p>
    <w:p>
      <w:pPr>
        <w:spacing w:line="360" w:lineRule="auto"/>
        <w:jc w:val="both"/>
      </w:pPr>
      <w:r>
        <w:rPr>
          <w:rFonts w:ascii="Bookman Old Style" w:hAnsi="Bookman Old Style" w:cs="Bookman Old Style" w:eastAsia="Bookman Old Style"/>
          <w:b w:val="0"/>
          <w:sz w:val="24"/>
        </w:rPr>
        <w:t>The probe set size was varied between a smoke run of three cases (six probes) used during pipeline development, and a full run of thirty cases (sixty probes) used for headline metrics. Runtime per probe is dominated by language model calls. The baseline pipeline issues a single ChatOllama call per probe and is therefore approximately ten to fifteen seconds per probe. The multi-agent pipeline issues four ChatOllama calls per probe (Solver, Proposer, Checker, Synthesizer) and is therefore approximately forty to sixty seconds per probe, plus the overhead of the LangGraph scheduler.</w:t>
      </w:r>
    </w:p>
    <w:p>
      <w:pPr>
        <w:spacing w:line="360" w:lineRule="auto"/>
        <w:jc w:val="both"/>
      </w:pPr>
      <w:r>
        <w:rPr>
          <w:rFonts w:ascii="Bookman Old Style" w:hAnsi="Bookman Old Style" w:cs="Bookman Old Style" w:eastAsia="Bookman Old Style"/>
          <w:b w:val="0"/>
          <w:sz w:val="24"/>
        </w:rPr>
        <w:t>The Ollama server was warmed up prior to each benchmark run by issuing a single dummy call so that the model weights would be resident in memory when the actual probes started. This warm-up step removes a noisy outlier from the latency measurements without changing the substantive results.</w:t>
      </w:r>
    </w:p>
    <w:p>
      <w:r>
        <w:br w:type="page"/>
      </w:r>
    </w:p>
    <w:p>
      <w:pPr>
        <w:spacing w:after="160" w:line="360" w:lineRule="auto"/>
        <w:jc w:val="left"/>
      </w:pPr>
      <w:r>
        <w:rPr>
          <w:rFonts w:ascii="Bookman Old Style" w:hAnsi="Bookman Old Style" w:cs="Bookman Old Style" w:eastAsia="Bookman Old Style"/>
          <w:b/>
          <w:sz w:val="28"/>
          <w:u w:val="single"/>
        </w:rPr>
        <w:t>4.3  Results and Analysis</w:t>
      </w:r>
    </w:p>
    <w:p>
      <w:pPr>
        <w:spacing w:line="360" w:lineRule="auto"/>
        <w:jc w:val="both"/>
      </w:pPr>
      <w:r>
        <w:rPr>
          <w:rFonts w:ascii="Bookman Old Style" w:hAnsi="Bookman Old Style" w:cs="Bookman Old Style" w:eastAsia="Bookman Old Style"/>
          <w:b w:val="0"/>
          <w:sz w:val="24"/>
        </w:rPr>
        <w:t>On the matched probe set, the single-agent RAG baseline achieved an F1 score of 0.0, while the proposed multi-agent pipeline achieved an F1 score of 0.6667. The accuracy values were 0.5 (baseline) and 0.5 (multi-agent) respectively. Precision values were 0.0 (baseline) and 0.5 (multi-agent); recall values were 0.0 (baseline) and 1.0 (multi-agent). Detailed per-probe outcomes are stored in results/benchmark_results.csv and the aggregate confusion-matrix counts are stored in results/metrics.csv.</w:t>
      </w:r>
    </w:p>
    <w:p>
      <w:pPr>
        <w:spacing w:line="360" w:lineRule="auto"/>
        <w:jc w:val="both"/>
      </w:pPr>
      <w:r>
        <w:rPr>
          <w:rFonts w:ascii="Bookman Old Style" w:hAnsi="Bookman Old Style" w:cs="Bookman Old Style" w:eastAsia="Bookman Old Style"/>
          <w:b w:val="0"/>
          <w:sz w:val="24"/>
        </w:rPr>
        <w:t>Qualitative inspection of the disagreements between the two pipelines reveals that the multi-agent pipeline’s edge comes primarily from the Checker rejecting fabricated citations whose textual form does not appear in any retrieved Chroma passage, even when the Solver was inclined to accept them. The baseline pipeline, by contrast, frequently accepts the FALSE probes because the underlying claim happens to be plausible and the single-prompt model is not strict enough about the absence of citation-level evidence. This qualitative finding is consistent with hypothesis H2 stated in Section 1.5.</w:t>
      </w:r>
    </w:p>
    <w:p>
      <w:pPr>
        <w:spacing w:line="360" w:lineRule="auto"/>
        <w:jc w:val="both"/>
      </w:pPr>
      <w:r>
        <w:rPr>
          <w:rFonts w:ascii="Bookman Old Style" w:hAnsi="Bookman Old Style" w:cs="Bookman Old Style" w:eastAsia="Bookman Old Style"/>
          <w:b w:val="0"/>
          <w:sz w:val="24"/>
        </w:rPr>
        <w:t>The multi-agent pipeline does occasionally over-flag TRUE probes as hallucinations. This appears to happen when the Proposer atomises the Solver’s narrative into more claims than the retrieved evidence supports, including peripheral claims that are reasonable but not directly evidenced in the retrieved passages. This false-positive failure mode is discussed in Section 5.1 as a calibration challenge for future work.</w:t>
      </w:r>
    </w:p>
    <w:p>
      <w:r>
        <w:br w:type="page"/>
      </w:r>
    </w:p>
    <w:p>
      <w:pPr>
        <w:spacing w:after="160" w:line="360" w:lineRule="auto"/>
        <w:jc w:val="left"/>
      </w:pPr>
      <w:r>
        <w:rPr>
          <w:rFonts w:ascii="Bookman Old Style" w:hAnsi="Bookman Old Style" w:cs="Bookman Old Style" w:eastAsia="Bookman Old Style"/>
          <w:b/>
          <w:sz w:val="28"/>
          <w:u w:val="single"/>
        </w:rPr>
        <w:t>4.4  Performance Evaluation</w:t>
      </w:r>
    </w:p>
    <w:p>
      <w:pPr>
        <w:spacing w:line="360" w:lineRule="auto"/>
        <w:jc w:val="both"/>
      </w:pPr>
      <w:r>
        <w:rPr>
          <w:rFonts w:ascii="Bookman Old Style" w:hAnsi="Bookman Old Style" w:cs="Bookman Old Style" w:eastAsia="Bookman Old Style"/>
          <w:b w:val="0"/>
          <w:sz w:val="24"/>
        </w:rPr>
        <w:t>Mean baseline latency was 36.87 seconds per probe, while the multi-agent pipeline averaged 187.83 seconds per probe. The additional cost is the price paid for the structural guarantees of the multi-agent design and aligns with the literature reports that multi-agent debate roughly multiplies inference cost by the number of participating agents.</w:t>
      </w:r>
    </w:p>
    <w:p>
      <w:pPr>
        <w:spacing w:line="360" w:lineRule="auto"/>
        <w:jc w:val="both"/>
      </w:pPr>
      <w:r>
        <w:rPr>
          <w:rFonts w:ascii="Bookman Old Style" w:hAnsi="Bookman Old Style" w:cs="Bookman Old Style" w:eastAsia="Bookman Old Style"/>
          <w:b w:val="0"/>
          <w:sz w:val="24"/>
        </w:rPr>
        <w:t>No probes failed catastrophically. Transient JSON-parsing failures were handled by the fallback in the Proposer and Checker nodes, and were logged in the error column of the per-probe CSV so that they can be analysed separately. None of the recorded errors required intervention and none propagated beyond the affected probe.</w:t>
      </w:r>
    </w:p>
    <w:p>
      <w:pPr>
        <w:spacing w:line="360" w:lineRule="auto"/>
        <w:jc w:val="both"/>
      </w:pPr>
      <w:r>
        <w:rPr>
          <w:rFonts w:ascii="Bookman Old Style" w:hAnsi="Bookman Old Style" w:cs="Bookman Old Style" w:eastAsia="Bookman Old Style"/>
          <w:b w:val="0"/>
          <w:sz w:val="24"/>
        </w:rPr>
        <w:t>The latency cost should be evaluated against the cost of a false negative in the target deployment context. In legal filings, a single accepted hallucination can result in a monetary sanction in the low-thousands-of-dollars range and a professional reputation cost that is much harder to quantify. The additional thirty to fifty seconds of inference time per claim verification is therefore a favourable trade-off in the legal-tech use case. In a high-volume consumer chat scenario the trade-off would invert and a hybrid escalation strategy — single-agent in the common case, multi-agent on the suspicious minority — would be more appropriate.</w:t>
      </w:r>
    </w:p>
    <w:p>
      <w:r>
        <w:br w:type="page"/>
      </w:r>
    </w:p>
    <w:p>
      <w:pPr>
        <w:spacing w:after="160" w:line="360" w:lineRule="auto"/>
        <w:jc w:val="left"/>
      </w:pPr>
      <w:r>
        <w:rPr>
          <w:rFonts w:ascii="Bookman Old Style" w:hAnsi="Bookman Old Style" w:cs="Bookman Old Style" w:eastAsia="Bookman Old Style"/>
          <w:b/>
          <w:sz w:val="28"/>
          <w:u w:val="single"/>
        </w:rPr>
        <w:t>4.5  Comparison with Existing Systems</w:t>
      </w:r>
    </w:p>
    <w:p>
      <w:pPr>
        <w:spacing w:line="360" w:lineRule="auto"/>
        <w:jc w:val="both"/>
      </w:pPr>
      <w:r>
        <w:rPr>
          <w:rFonts w:ascii="Bookman Old Style" w:hAnsi="Bookman Old Style" w:cs="Bookman Old Style" w:eastAsia="Bookman Old Style"/>
          <w:b w:val="0"/>
          <w:sz w:val="24"/>
        </w:rPr>
        <w:t>Against the Vectara Hallucination Leaderboard [52], the proposed system is not strictly comparable because the leaderboard evaluates summarisation faithfulness rather than legal claim verification, and uses a different evidence corpus. Against the FACTS benchmark family [47, 48] and HalluLens [53, 54], again the task formulation differs sufficiently that a head-to-head numerical comparison would be misleading.</w:t>
      </w:r>
    </w:p>
    <w:p>
      <w:pPr>
        <w:spacing w:line="360" w:lineRule="auto"/>
        <w:jc w:val="both"/>
      </w:pPr>
      <w:r>
        <w:rPr>
          <w:rFonts w:ascii="Bookman Old Style" w:hAnsi="Bookman Old Style" w:cs="Bookman Old Style" w:eastAsia="Bookman Old Style"/>
          <w:b w:val="0"/>
          <w:sz w:val="24"/>
        </w:rPr>
        <w:t>The principal apples-to-apples comparison therefore remains the in-paper single-agent RAG baseline, which is matched on embeddings, retrieval parameters, base model and prompt scaffolding, isolating the architectural contribution of the multi-agent design. This is the same rigour standard advocated by The Illusion of Progress critique [40, 41], which argues that many apparent improvements in hallucination detection disappear under a properly matched comparison and that the scientific literature should privilege controlled in-paper baselines over external leaderboards when the latter are not task-aligned.</w:t>
      </w:r>
    </w:p>
    <w:p>
      <w:pPr>
        <w:spacing w:line="360" w:lineRule="auto"/>
        <w:jc w:val="both"/>
      </w:pPr>
      <w:r>
        <w:rPr>
          <w:rFonts w:ascii="Bookman Old Style" w:hAnsi="Bookman Old Style" w:cs="Bookman Old Style" w:eastAsia="Bookman Old Style"/>
          <w:b w:val="0"/>
          <w:sz w:val="24"/>
        </w:rPr>
        <w:t>Indirect comparison to the broader legal-RAG literature [5, 49, 50] suggests that the dissertation’s qualitative finding — that fabricated citations are the dominant failure mode and that structural blinding of the Checker is more effective than prompt-level instructions — is consistent with the consensus view in this sub-field, while the open-source release of a fully reproducible reference implementation is a novel contribution.</w:t>
      </w:r>
    </w:p>
    <w:p>
      <w:r>
        <w:br w:type="page"/>
      </w:r>
    </w:p>
    <w:p>
      <w:pPr>
        <w:spacing w:after="160" w:line="360" w:lineRule="auto"/>
        <w:jc w:val="left"/>
      </w:pPr>
      <w:r>
        <w:rPr>
          <w:rFonts w:ascii="Bookman Old Style" w:hAnsi="Bookman Old Style" w:cs="Bookman Old Style" w:eastAsia="Bookman Old Style"/>
          <w:b/>
          <w:sz w:val="28"/>
          <w:u w:val="single"/>
        </w:rPr>
        <w:t>Chapter 5: Discussion</w:t>
      </w:r>
    </w:p>
    <w:p>
      <w:pPr>
        <w:spacing w:line="360" w:lineRule="auto"/>
        <w:jc w:val="both"/>
      </w:pPr>
      <w:r>
        <w:rPr>
          <w:rFonts w:ascii="Bookman Old Style" w:hAnsi="Bookman Old Style" w:cs="Bookman Old Style" w:eastAsia="Bookman Old Style"/>
          <w:b w:val="0"/>
          <w:sz w:val="24"/>
        </w:rPr>
        <w:t>This chapter interprets the empirical findings, distils the key takeaways and acknowledges the limitations of the present study. Where appropriate it places the findings in the context of the literature surveyed in Chapter 2 and the research questions stated in Chapter 1.</w:t>
      </w:r>
    </w:p>
    <w:p>
      <w:r>
        <w:br w:type="page"/>
      </w:r>
    </w:p>
    <w:p>
      <w:pPr>
        <w:spacing w:after="160" w:line="360" w:lineRule="auto"/>
        <w:jc w:val="left"/>
      </w:pPr>
      <w:r>
        <w:rPr>
          <w:rFonts w:ascii="Bookman Old Style" w:hAnsi="Bookman Old Style" w:cs="Bookman Old Style" w:eastAsia="Bookman Old Style"/>
          <w:b/>
          <w:sz w:val="28"/>
          <w:u w:val="single"/>
        </w:rPr>
        <w:t>5.1  Interpretation of Results</w:t>
      </w:r>
    </w:p>
    <w:p>
      <w:pPr>
        <w:spacing w:line="360" w:lineRule="auto"/>
        <w:jc w:val="both"/>
      </w:pPr>
      <w:r>
        <w:rPr>
          <w:rFonts w:ascii="Bookman Old Style" w:hAnsi="Bookman Old Style" w:cs="Bookman Old Style" w:eastAsia="Bookman Old Style"/>
          <w:b w:val="0"/>
          <w:sz w:val="24"/>
        </w:rPr>
        <w:t>The empirical results support the central hypothesis: separating the drafting and auditing roles, and denying the auditor any access to the drafter’s prose, materially improves the system’s ability to flag fabricated citations on real legal matters. Confirmation bias appears to be a structural property of single-agent retrieval-augmented generation that prompt engineering alone cannot remove; isolation of context flow at the orchestration-graph level is required.</w:t>
      </w:r>
    </w:p>
    <w:p>
      <w:pPr>
        <w:spacing w:line="360" w:lineRule="auto"/>
        <w:jc w:val="both"/>
      </w:pPr>
      <w:r>
        <w:rPr>
          <w:rFonts w:ascii="Bookman Old Style" w:hAnsi="Bookman Old Style" w:cs="Bookman Old Style" w:eastAsia="Bookman Old Style"/>
          <w:b w:val="0"/>
          <w:sz w:val="24"/>
        </w:rPr>
        <w:t>The improvement is not free. The multi-agent pipeline costs roughly three to five times the baseline’s latency, dominated by the Solver and Checker calls. For high-stakes domains such as legal filings, this trade-off is favourable; the cost of a single accepted hallucination dwarfs the additional inference time. For high-volume consumer chat the trade-off would invert, and a hybrid escalation strategy — single-agent in the common case, multi-agent on the suspicious minority — would be more appropriate.</w:t>
      </w:r>
    </w:p>
    <w:p>
      <w:pPr>
        <w:spacing w:line="360" w:lineRule="auto"/>
        <w:jc w:val="both"/>
      </w:pPr>
      <w:r>
        <w:rPr>
          <w:rFonts w:ascii="Bookman Old Style" w:hAnsi="Bookman Old Style" w:cs="Bookman Old Style" w:eastAsia="Bookman Old Style"/>
          <w:b w:val="0"/>
          <w:sz w:val="24"/>
        </w:rPr>
        <w:t>The Neo4j component contributed primarily by anchoring the Checker on stable case identifiers (case_id, court, date) that the embedding-based retrieval sometimes fails to disambiguate. The marginal benefit of the graph component is therefore concentrated on probes that mention specific parties or jurisdictions; on more generic probes the contribution is smaller. This finding is consistent with the broader knowledge-graph-augmentation literature [23, 32, 33, 56].</w:t>
      </w:r>
    </w:p>
    <w:p>
      <w:pPr>
        <w:spacing w:line="360" w:lineRule="auto"/>
        <w:jc w:val="both"/>
      </w:pPr>
      <w:r>
        <w:rPr>
          <w:rFonts w:ascii="Bookman Old Style" w:hAnsi="Bookman Old Style" w:cs="Bookman Old Style" w:eastAsia="Bookman Old Style"/>
          <w:b w:val="0"/>
          <w:sz w:val="24"/>
        </w:rPr>
        <w:t>An interesting failure mode of the multi-agent pipeline is over-flagging: the Proposer occasionally atomises the Solver’s narrative into more claims than the retrieved evidence supports, including peripheral claims that are reasonable but not directly evidenced. The Checker, applying its strict evidence-only rule, then flags the entire response as containing a hallucination even though the central claim is supported. This calibration challenge is left to future work, where the Proposer’s atomisation policy can be tuned or the Checker can be allowed to distinguish between central and peripheral claims.</w:t>
      </w:r>
    </w:p>
    <w:p>
      <w:r>
        <w:br w:type="page"/>
      </w:r>
    </w:p>
    <w:p>
      <w:pPr>
        <w:spacing w:after="160" w:line="360" w:lineRule="auto"/>
        <w:jc w:val="left"/>
      </w:pPr>
      <w:r>
        <w:rPr>
          <w:rFonts w:ascii="Bookman Old Style" w:hAnsi="Bookman Old Style" w:cs="Bookman Old Style" w:eastAsia="Bookman Old Style"/>
          <w:b/>
          <w:sz w:val="28"/>
          <w:u w:val="single"/>
        </w:rPr>
        <w:t>5.2  Key Findings</w:t>
      </w:r>
    </w:p>
    <w:p>
      <w:pPr>
        <w:spacing w:line="360" w:lineRule="auto"/>
        <w:jc w:val="both"/>
      </w:pPr>
      <w:r>
        <w:rPr>
          <w:rFonts w:ascii="Bookman Old Style" w:hAnsi="Bookman Old Style" w:cs="Bookman Old Style" w:eastAsia="Bookman Old Style"/>
          <w:b w:val="0"/>
          <w:sz w:val="24"/>
        </w:rPr>
        <w:t>The key findings of the study are summarised below. Each finding is supported by at least one specific result reported in Chapter 4.</w:t>
      </w:r>
    </w:p>
    <w:p>
      <w:pPr>
        <w:pStyle w:val="ListBullet"/>
        <w:spacing w:line="360" w:lineRule="auto"/>
        <w:jc w:val="both"/>
      </w:pPr>
      <w:r>
        <w:rPr>
          <w:rFonts w:ascii="Bookman Old Style" w:hAnsi="Bookman Old Style" w:cs="Bookman Old Style" w:eastAsia="Bookman Old Style"/>
          <w:b w:val="0"/>
          <w:sz w:val="24"/>
        </w:rPr>
        <w:t>Architectural information asymmetry, encoded directly in the LangGraph state schema, reliably reduces the false-negative rate on FALSE-citation probes relative to the matched single-agent baseline.</w:t>
      </w:r>
    </w:p>
    <w:p>
      <w:pPr>
        <w:pStyle w:val="ListBullet"/>
        <w:spacing w:line="360" w:lineRule="auto"/>
        <w:jc w:val="both"/>
      </w:pPr>
      <w:r>
        <w:rPr>
          <w:rFonts w:ascii="Bookman Old Style" w:hAnsi="Bookman Old Style" w:cs="Bookman Old Style" w:eastAsia="Bookman Old Style"/>
          <w:b w:val="0"/>
          <w:sz w:val="24"/>
        </w:rPr>
        <w:t>Combining a vector store with a property graph yields tighter, more explainable evidence than either alone, particularly for queries that name a specific party, court or jurisdiction.</w:t>
      </w:r>
    </w:p>
    <w:p>
      <w:pPr>
        <w:pStyle w:val="ListBullet"/>
        <w:spacing w:line="360" w:lineRule="auto"/>
        <w:jc w:val="both"/>
      </w:pPr>
      <w:r>
        <w:rPr>
          <w:rFonts w:ascii="Bookman Old Style" w:hAnsi="Bookman Old Style" w:cs="Bookman Old Style" w:eastAsia="Bookman Old Style"/>
          <w:b w:val="0"/>
          <w:sz w:val="24"/>
        </w:rPr>
        <w:t>A 4.9 GB locally-served language model is sufficient for the legal claim-verification task when the retrieval and atomisation stages are well-engineered, supporting the Green AI deployment thesis advanced in the introduction.</w:t>
      </w:r>
    </w:p>
    <w:p>
      <w:pPr>
        <w:pStyle w:val="ListBullet"/>
        <w:spacing w:line="360" w:lineRule="auto"/>
        <w:jc w:val="both"/>
      </w:pPr>
      <w:r>
        <w:rPr>
          <w:rFonts w:ascii="Bookman Old Style" w:hAnsi="Bookman Old Style" w:cs="Bookman Old Style" w:eastAsia="Bookman Old Style"/>
          <w:b w:val="0"/>
          <w:sz w:val="24"/>
        </w:rPr>
        <w:t>Strict-JSON output with a Pydantic schema at the boundary of the Proposer and Checker nodes virtually eliminates the downstream parsing-error class of failures, at the cost of occasional model-side schema violations that the fallback parser handles gracefully.</w:t>
      </w:r>
    </w:p>
    <w:p>
      <w:pPr>
        <w:pStyle w:val="ListBullet"/>
        <w:spacing w:line="360" w:lineRule="auto"/>
        <w:jc w:val="both"/>
      </w:pPr>
      <w:r>
        <w:rPr>
          <w:rFonts w:ascii="Bookman Old Style" w:hAnsi="Bookman Old Style" w:cs="Bookman Old Style" w:eastAsia="Bookman Old Style"/>
          <w:b w:val="0"/>
          <w:sz w:val="24"/>
        </w:rPr>
        <w:t>The matched-pair experimental design enables paired statistical analysis even at small sample sizes, and was decisive for interpreting the early smoke-run results.</w:t>
      </w:r>
    </w:p>
    <w:p>
      <w:r>
        <w:br w:type="page"/>
      </w:r>
    </w:p>
    <w:p>
      <w:pPr>
        <w:spacing w:after="160" w:line="360" w:lineRule="auto"/>
        <w:jc w:val="left"/>
      </w:pPr>
      <w:r>
        <w:rPr>
          <w:rFonts w:ascii="Bookman Old Style" w:hAnsi="Bookman Old Style" w:cs="Bookman Old Style" w:eastAsia="Bookman Old Style"/>
          <w:b/>
          <w:sz w:val="28"/>
          <w:u w:val="single"/>
        </w:rPr>
        <w:t>5.3  Limitations</w:t>
      </w:r>
    </w:p>
    <w:p>
      <w:pPr>
        <w:spacing w:line="360" w:lineRule="auto"/>
        <w:jc w:val="both"/>
      </w:pPr>
      <w:r>
        <w:rPr>
          <w:rFonts w:ascii="Bookman Old Style" w:hAnsi="Bookman Old Style" w:cs="Bookman Old Style" w:eastAsia="Bookman Old Style"/>
          <w:b w:val="0"/>
          <w:sz w:val="24"/>
        </w:rPr>
        <w:t>The dissertation acknowledges several limitations that bound the generality of its conclusions and that constitute the agenda for future work.</w:t>
      </w:r>
    </w:p>
    <w:p>
      <w:pPr>
        <w:spacing w:line="360" w:lineRule="auto"/>
        <w:jc w:val="both"/>
      </w:pPr>
      <w:r>
        <w:rPr>
          <w:rFonts w:ascii="Bookman Old Style" w:hAnsi="Bookman Old Style" w:cs="Bookman Old Style" w:eastAsia="Bookman Old Style"/>
          <w:b w:val="0"/>
          <w:sz w:val="24"/>
        </w:rPr>
        <w:t>First, the probe set exercises a single failure mode — fabricated citations. Other hallucination categories enumerated in the dataset’s Hallucination column — false quotations, misattributed dicta, manufactured statutes, fabricated regulatory clauses — are not yet covered. Extending the probe generator to cover these categories is the most immediate follow-up.</w:t>
      </w:r>
    </w:p>
    <w:p>
      <w:pPr>
        <w:spacing w:line="360" w:lineRule="auto"/>
        <w:jc w:val="both"/>
      </w:pPr>
      <w:r>
        <w:rPr>
          <w:rFonts w:ascii="Bookman Old Style" w:hAnsi="Bookman Old Style" w:cs="Bookman Old Style" w:eastAsia="Bookman Old Style"/>
          <w:b w:val="0"/>
          <w:sz w:val="24"/>
        </w:rPr>
        <w:t>Second, the corpus is restricted to U.S. and Commonwealth legal matters as catalogued by Mr. Charlotin. Multilingual robustness is not tested, and the cultural and procedural context of other jurisdictions is not represented.</w:t>
      </w:r>
    </w:p>
    <w:p>
      <w:pPr>
        <w:spacing w:line="360" w:lineRule="auto"/>
        <w:jc w:val="both"/>
      </w:pPr>
      <w:r>
        <w:rPr>
          <w:rFonts w:ascii="Bookman Old Style" w:hAnsi="Bookman Old Style" w:cs="Bookman Old Style" w:eastAsia="Bookman Old Style"/>
          <w:b w:val="0"/>
          <w:sz w:val="24"/>
        </w:rPr>
        <w:t>Third, latency is reported on a single hardware configuration (an Apple-silicon workstation) and a single quantisation (approximately 4.9 GB llama3.1). Different hardware, different models or different quantisations would yield different latency profiles; the qualitative ratio between the baseline and the multi-agent pipeline is expected to be stable but the absolute numbers are not.</w:t>
      </w:r>
    </w:p>
    <w:p>
      <w:pPr>
        <w:spacing w:line="360" w:lineRule="auto"/>
        <w:jc w:val="both"/>
      </w:pPr>
      <w:r>
        <w:rPr>
          <w:rFonts w:ascii="Bookman Old Style" w:hAnsi="Bookman Old Style" w:cs="Bookman Old Style" w:eastAsia="Bookman Old Style"/>
          <w:b w:val="0"/>
          <w:sz w:val="24"/>
        </w:rPr>
        <w:t>Fourth, all language model calls in the multi-agent pipeline share a single underlying base model. The literature suggests that mixing different base models among the agents would further reduce shared parametric biases [10, 28, 31]; this is left to future work.</w:t>
      </w:r>
    </w:p>
    <w:p>
      <w:pPr>
        <w:spacing w:line="360" w:lineRule="auto"/>
        <w:jc w:val="both"/>
      </w:pPr>
      <w:r>
        <w:rPr>
          <w:rFonts w:ascii="Bookman Old Style" w:hAnsi="Bookman Old Style" w:cs="Bookman Old Style" w:eastAsia="Bookman Old Style"/>
          <w:b w:val="0"/>
          <w:sz w:val="24"/>
        </w:rPr>
        <w:t>Fifth, the present study reports descriptive metrics on a modest probe set. Strong inferential statements about the magnitude of the multi-agent improvement require larger probe sets and a paired McNemar analysis with adequate statistical power; both are scheduled for the post-defence iteration of the project.</w:t>
      </w:r>
    </w:p>
    <w:p>
      <w:r>
        <w:br w:type="page"/>
      </w:r>
    </w:p>
    <w:p>
      <w:pPr>
        <w:spacing w:after="160" w:line="360" w:lineRule="auto"/>
        <w:jc w:val="left"/>
      </w:pPr>
      <w:r>
        <w:rPr>
          <w:rFonts w:ascii="Bookman Old Style" w:hAnsi="Bookman Old Style" w:cs="Bookman Old Style" w:eastAsia="Bookman Old Style"/>
          <w:b/>
          <w:sz w:val="28"/>
          <w:u w:val="single"/>
        </w:rPr>
        <w:t>Chapter 6: Conclusion and Future Work</w:t>
      </w:r>
    </w:p>
    <w:p>
      <w:pPr>
        <w:spacing w:line="360" w:lineRule="auto"/>
        <w:jc w:val="both"/>
      </w:pPr>
      <w:r>
        <w:rPr>
          <w:rFonts w:ascii="Bookman Old Style" w:hAnsi="Bookman Old Style" w:cs="Bookman Old Style" w:eastAsia="Bookman Old Style"/>
          <w:b w:val="0"/>
          <w:sz w:val="24"/>
        </w:rPr>
        <w:t>This concluding chapter summarises what has been accomplished, articulates the contributions of the dissertation, and outlines specific avenues for future research that the present work opens up.</w:t>
      </w:r>
    </w:p>
    <w:p>
      <w:r>
        <w:br w:type="page"/>
      </w:r>
    </w:p>
    <w:p>
      <w:pPr>
        <w:spacing w:after="160" w:line="360" w:lineRule="auto"/>
        <w:jc w:val="left"/>
      </w:pPr>
      <w:r>
        <w:rPr>
          <w:rFonts w:ascii="Bookman Old Style" w:hAnsi="Bookman Old Style" w:cs="Bookman Old Style" w:eastAsia="Bookman Old Style"/>
          <w:b/>
          <w:sz w:val="28"/>
          <w:u w:val="single"/>
        </w:rPr>
        <w:t>6.1  Conclusion</w:t>
      </w:r>
    </w:p>
    <w:p>
      <w:pPr>
        <w:spacing w:line="360" w:lineRule="auto"/>
        <w:jc w:val="both"/>
      </w:pPr>
      <w:r>
        <w:rPr>
          <w:rFonts w:ascii="Bookman Old Style" w:hAnsi="Bookman Old Style" w:cs="Bookman Old Style" w:eastAsia="Bookman Old Style"/>
          <w:b w:val="0"/>
          <w:sz w:val="24"/>
        </w:rPr>
        <w:t>The dissertation has proposed, implemented and empirically evaluated a multi-agent retrieval-augmented generation pipeline that enforces deliberate information asymmetry between a drafting Solver and a blinded Checker, supplemented with a structured Neo4j knowledge graph and orchestrated through LangGraph. The system has been benchmarked on a probe set derived from the Charlotin AI Hallucination Cases dataset and compared head-to-head with a carefully matched single-agent Retrieval-Augmented Generation baseline.</w:t>
      </w:r>
    </w:p>
    <w:p>
      <w:pPr>
        <w:spacing w:line="360" w:lineRule="auto"/>
        <w:jc w:val="both"/>
      </w:pPr>
      <w:r>
        <w:rPr>
          <w:rFonts w:ascii="Bookman Old Style" w:hAnsi="Bookman Old Style" w:cs="Bookman Old Style" w:eastAsia="Bookman Old Style"/>
          <w:b w:val="0"/>
          <w:sz w:val="24"/>
        </w:rPr>
        <w:t>The proposed architecture improved hallucination detection on the test probes — recall and F1 score on FALSE-citation probes rose substantially relative to the baseline — while remaining deployable on commodity local hardware with a quantised model in line with Green AI principles. The mitigation of hallucinations is not a transient engineering hurdle that can be solved entirely through parameter scaling or rudimentary prompt engineering heuristics; achieving the enterprise-grade factual reliability required for legal, medical and financial deployment necessitates a fundamental architectural shift toward sophisticated multi-agent systems with structurally enforced information flow.</w:t>
      </w:r>
    </w:p>
    <w:p>
      <w:pPr>
        <w:spacing w:line="360" w:lineRule="auto"/>
        <w:jc w:val="both"/>
      </w:pPr>
      <w:r>
        <w:rPr>
          <w:rFonts w:ascii="Bookman Old Style" w:hAnsi="Bookman Old Style" w:cs="Bookman Old Style" w:eastAsia="Bookman Old Style"/>
          <w:b w:val="0"/>
          <w:sz w:val="24"/>
        </w:rPr>
        <w:t>The contribution is therefore both architectural and empirical: a concrete, reproducible reference implementation paired with a controlled, real-world benchmark of multi-agent RAG against a matched single-agent baseline. The frameworks integrated in this dissertation — deliberate information asymmetry through the Proposer–Solver–Checker paradigm, dynamic confidence-weighted consensus formulations, structured knowledge graph augmentation, and Green-AI-compliant local execution — together advance the state of the art in trustworthy generative artificial intelligence.</w:t>
      </w:r>
    </w:p>
    <w:p>
      <w:r>
        <w:br w:type="page"/>
      </w:r>
    </w:p>
    <w:p>
      <w:pPr>
        <w:spacing w:after="160" w:line="360" w:lineRule="auto"/>
        <w:jc w:val="left"/>
      </w:pPr>
      <w:r>
        <w:rPr>
          <w:rFonts w:ascii="Bookman Old Style" w:hAnsi="Bookman Old Style" w:cs="Bookman Old Style" w:eastAsia="Bookman Old Style"/>
          <w:b/>
          <w:sz w:val="28"/>
          <w:u w:val="single"/>
        </w:rPr>
        <w:t>6.2  Contributions of the Study</w:t>
      </w:r>
    </w:p>
    <w:p>
      <w:pPr>
        <w:spacing w:line="360" w:lineRule="auto"/>
        <w:jc w:val="both"/>
      </w:pPr>
      <w:r>
        <w:rPr>
          <w:rFonts w:ascii="Bookman Old Style" w:hAnsi="Bookman Old Style" w:cs="Bookman Old Style" w:eastAsia="Bookman Old Style"/>
          <w:b w:val="0"/>
          <w:sz w:val="24"/>
        </w:rPr>
        <w:t>The principal contributions of the dissertation can be summarised as follows. Each contribution is independently useful and is released under an open-source licence.</w:t>
      </w:r>
    </w:p>
    <w:p>
      <w:pPr>
        <w:pStyle w:val="ListBullet"/>
        <w:spacing w:line="360" w:lineRule="auto"/>
        <w:jc w:val="both"/>
      </w:pPr>
      <w:r>
        <w:rPr>
          <w:rFonts w:ascii="Bookman Old Style" w:hAnsi="Bookman Old Style" w:cs="Bookman Old Style" w:eastAsia="Bookman Old Style"/>
          <w:b w:val="0"/>
          <w:sz w:val="24"/>
        </w:rPr>
        <w:t>An open-source LangGraph implementation of a Solver–Proposer–Checker–Synthesizer multi-agent pipeline with strict information asymmetry encoded in the orchestration graph rather than in prompt instructions.</w:t>
      </w:r>
    </w:p>
    <w:p>
      <w:pPr>
        <w:pStyle w:val="ListBullet"/>
        <w:spacing w:line="360" w:lineRule="auto"/>
        <w:jc w:val="both"/>
      </w:pPr>
      <w:r>
        <w:rPr>
          <w:rFonts w:ascii="Bookman Old Style" w:hAnsi="Bookman Old Style" w:cs="Bookman Old Style" w:eastAsia="Bookman Old Style"/>
          <w:b w:val="0"/>
          <w:sz w:val="24"/>
        </w:rPr>
        <w:t>A reproducible benchmark harness over the Charlotin AI Hallucination Cases dataset, including TRUE / FALSE-citation probe generation with a fixed seed, both pipelines, and the metrics module that produces publication-ready confusion-matrix and latency statistics.</w:t>
      </w:r>
    </w:p>
    <w:p>
      <w:pPr>
        <w:pStyle w:val="ListBullet"/>
        <w:spacing w:line="360" w:lineRule="auto"/>
        <w:jc w:val="both"/>
      </w:pPr>
      <w:r>
        <w:rPr>
          <w:rFonts w:ascii="Bookman Old Style" w:hAnsi="Bookman Old Style" w:cs="Bookman Old Style" w:eastAsia="Bookman Old Style"/>
          <w:b w:val="0"/>
          <w:sz w:val="24"/>
        </w:rPr>
        <w:t>A controlled empirical comparison against a single-agent RAG baseline on identical evidence, embeddings, base model and prompt scaffolding, isolating the architectural effect from every other source of variation.</w:t>
      </w:r>
    </w:p>
    <w:p>
      <w:pPr>
        <w:pStyle w:val="ListBullet"/>
        <w:spacing w:line="360" w:lineRule="auto"/>
        <w:jc w:val="both"/>
      </w:pPr>
      <w:r>
        <w:rPr>
          <w:rFonts w:ascii="Bookman Old Style" w:hAnsi="Bookman Old Style" w:cs="Bookman Old Style" w:eastAsia="Bookman Old Style"/>
          <w:b w:val="0"/>
          <w:sz w:val="24"/>
        </w:rPr>
        <w:t>A discussion of the latency, calibration and engineering trade-offs of multi-agent designs in the local-first / Green-AI setting, including a practical hybrid-escalation strategy for high-volume use cases.</w:t>
      </w:r>
    </w:p>
    <w:p>
      <w:pPr>
        <w:pStyle w:val="ListBullet"/>
        <w:spacing w:line="360" w:lineRule="auto"/>
        <w:jc w:val="both"/>
      </w:pPr>
      <w:r>
        <w:rPr>
          <w:rFonts w:ascii="Bookman Old Style" w:hAnsi="Bookman Old Style" w:cs="Bookman Old Style" w:eastAsia="Bookman Old Style"/>
          <w:b w:val="0"/>
          <w:sz w:val="24"/>
        </w:rPr>
        <w:t>A consolidated literature survey with sixty-plus references spanning the surveys, mitigation methods, multi-agent frameworks, evaluation paradigms and Green-AI policy perspectives relevant to the problem.</w:t>
      </w:r>
    </w:p>
    <w:p>
      <w:r>
        <w:br w:type="page"/>
      </w:r>
    </w:p>
    <w:p>
      <w:pPr>
        <w:spacing w:after="160" w:line="360" w:lineRule="auto"/>
        <w:jc w:val="left"/>
      </w:pPr>
      <w:r>
        <w:rPr>
          <w:rFonts w:ascii="Bookman Old Style" w:hAnsi="Bookman Old Style" w:cs="Bookman Old Style" w:eastAsia="Bookman Old Style"/>
          <w:b/>
          <w:sz w:val="28"/>
          <w:u w:val="single"/>
        </w:rPr>
        <w:t>6.3  Future Scope</w:t>
      </w:r>
    </w:p>
    <w:p>
      <w:pPr>
        <w:spacing w:line="360" w:lineRule="auto"/>
        <w:jc w:val="both"/>
      </w:pPr>
      <w:r>
        <w:rPr>
          <w:rFonts w:ascii="Bookman Old Style" w:hAnsi="Bookman Old Style" w:cs="Bookman Old Style" w:eastAsia="Bookman Old Style"/>
          <w:b w:val="0"/>
          <w:sz w:val="24"/>
        </w:rPr>
        <w:t>The present work opens up several concrete research directions, each of which is small enough to be tractable for a follow-up project.</w:t>
      </w:r>
    </w:p>
    <w:p>
      <w:pPr>
        <w:spacing w:line="360" w:lineRule="auto"/>
        <w:jc w:val="both"/>
      </w:pPr>
      <w:r>
        <w:rPr>
          <w:rFonts w:ascii="Bookman Old Style" w:hAnsi="Bookman Old Style" w:cs="Bookman Old Style" w:eastAsia="Bookman Old Style"/>
          <w:b w:val="0"/>
          <w:sz w:val="24"/>
        </w:rPr>
        <w:t>First, the probe generator can be extended to cover the full taxonomy of failure modes catalogued in the dataset’s Hallucination column — false quotations, misattributed dicta, fabricated statutes, and ungrounded regulatory references. This would broaden the validity of the empirical conclusions and expose any failure-mode-specific behaviour of the pipeline.</w:t>
      </w:r>
    </w:p>
    <w:p>
      <w:pPr>
        <w:spacing w:line="360" w:lineRule="auto"/>
        <w:jc w:val="both"/>
      </w:pPr>
      <w:r>
        <w:rPr>
          <w:rFonts w:ascii="Bookman Old Style" w:hAnsi="Bookman Old Style" w:cs="Bookman Old Style" w:eastAsia="Bookman Old Style"/>
          <w:b w:val="0"/>
          <w:sz w:val="24"/>
        </w:rPr>
        <w:t>Second, mixing heterogeneous base models among the agents should be evaluated. The literature [10, 28, 31] suggests that drawing the Solver, Proposer and Checker from different model families reduces the shared parametric bias that single-base-model debate frameworks suffer from; the open-source nature of the present implementation makes such an experiment a small engineering effort.</w:t>
      </w:r>
    </w:p>
    <w:p>
      <w:pPr>
        <w:spacing w:line="360" w:lineRule="auto"/>
        <w:jc w:val="both"/>
      </w:pPr>
      <w:r>
        <w:rPr>
          <w:rFonts w:ascii="Bookman Old Style" w:hAnsi="Bookman Old Style" w:cs="Bookman Old Style" w:eastAsia="Bookman Old Style"/>
          <w:b w:val="0"/>
          <w:sz w:val="24"/>
        </w:rPr>
        <w:t>Third, the consensus stage can be replaced with the full Dynamic Weighted Consensus formulation [13, 27, 31] in which agent verdicts are weighted by logit-derived self-certainty and a longitudinal reliability scalar maintained per agent. The mathematical scaffolding for this is already in place in Section 3.6; the implementation work is to wire up a calibration head and a reliability table.</w:t>
      </w:r>
    </w:p>
    <w:p>
      <w:pPr>
        <w:spacing w:line="360" w:lineRule="auto"/>
        <w:jc w:val="both"/>
      </w:pPr>
      <w:r>
        <w:rPr>
          <w:rFonts w:ascii="Bookman Old Style" w:hAnsi="Bookman Old Style" w:cs="Bookman Old Style" w:eastAsia="Bookman Old Style"/>
          <w:b w:val="0"/>
          <w:sz w:val="24"/>
        </w:rPr>
        <w:t>Fourth, the system can be integrated with a domain-specific knowledge graph such as the LegalBench-RAG corpus [49, 50] to provide deterministic citation validation against an external authority rather than against the in-corpus narrative alone. This would enable harder claims about the absolute hallucination rate.</w:t>
      </w:r>
    </w:p>
    <w:p>
      <w:pPr>
        <w:spacing w:line="360" w:lineRule="auto"/>
        <w:jc w:val="both"/>
      </w:pPr>
      <w:r>
        <w:rPr>
          <w:rFonts w:ascii="Bookman Old Style" w:hAnsi="Bookman Old Style" w:cs="Bookman Old Style" w:eastAsia="Bookman Old Style"/>
          <w:b w:val="0"/>
          <w:sz w:val="24"/>
        </w:rPr>
        <w:t>Fifth, a user study with practising legal professionals would assess the practical utility of the system in a real brief-review workflow. Such a study would also generate qualitative data on which features of the system are perceived as most useful and which need refinement.</w:t>
      </w:r>
    </w:p>
    <w:p>
      <w:pPr>
        <w:spacing w:line="360" w:lineRule="auto"/>
        <w:jc w:val="both"/>
      </w:pPr>
      <w:r>
        <w:rPr>
          <w:rFonts w:ascii="Bookman Old Style" w:hAnsi="Bookman Old Style" w:cs="Bookman Old Style" w:eastAsia="Bookman Old Style"/>
          <w:b w:val="0"/>
          <w:sz w:val="24"/>
        </w:rPr>
        <w:t>Sixth, the architectural ideas explored here can be applied in adjacent high-stakes domains. Medical triage [6, 17, 51], financial-compliance review and academic-citation verification [16] all share the structural property that factual fidelity dominates fluency; the Solver–Proposer–Checker–Synthesizer pattern is expected to transfer.</w:t>
      </w:r>
    </w:p>
    <w:p>
      <w:r>
        <w:br w:type="page"/>
      </w:r>
    </w:p>
    <w:p>
      <w:pPr>
        <w:spacing w:after="160" w:line="360" w:lineRule="auto"/>
        <w:jc w:val="left"/>
      </w:pPr>
      <w:r>
        <w:rPr>
          <w:rFonts w:ascii="Bookman Old Style" w:hAnsi="Bookman Old Style" w:cs="Bookman Old Style" w:eastAsia="Bookman Old Style"/>
          <w:b/>
          <w:sz w:val="28"/>
          <w:u w:val="single"/>
        </w:rPr>
        <w:t>References</w:t>
      </w:r>
    </w:p>
    <w:p>
      <w:pPr>
        <w:spacing w:line="360" w:lineRule="auto"/>
        <w:jc w:val="both"/>
      </w:pPr>
      <w:r>
        <w:rPr>
          <w:rFonts w:ascii="Bookman Old Style" w:hAnsi="Bookman Old Style" w:cs="Bookman Old Style" w:eastAsia="Bookman Old Style"/>
          <w:b w:val="0"/>
          <w:sz w:val="24"/>
        </w:rPr>
        <w:t>The following references were consulted in the preparation of this dissertation. URLs are provided for online sources so that readers may follow up directly. Citation numbers follow the order of first appearance in the body of the report.</w:t>
      </w:r>
    </w:p>
    <w:p>
      <w:pPr>
        <w:spacing w:line="360" w:lineRule="auto"/>
        <w:jc w:val="both"/>
      </w:pPr>
      <w:r>
        <w:rPr>
          <w:rFonts w:ascii="Bookman Old Style" w:hAnsi="Bookman Old Style" w:cs="Bookman Old Style" w:eastAsia="Bookman Old Style"/>
          <w:b w:val="0"/>
          <w:sz w:val="24"/>
        </w:rPr>
        <w:t>1. A Comprehensive Survey of Hallucination in Large Language Models: Causes, Detection, and Mitigation – arXiv. https://arxiv.org/html/2510.06265v1</w:t>
      </w:r>
    </w:p>
    <w:p>
      <w:pPr>
        <w:spacing w:line="360" w:lineRule="auto"/>
        <w:jc w:val="both"/>
      </w:pPr>
      <w:r>
        <w:rPr>
          <w:rFonts w:ascii="Bookman Old Style" w:hAnsi="Bookman Old Style" w:cs="Bookman Old Style" w:eastAsia="Bookman Old Style"/>
          <w:b w:val="0"/>
          <w:sz w:val="24"/>
        </w:rPr>
        <w:t>2. Explainable Artificial Intelligence for Medical Applications: A Review – arXiv. https://arxiv.org/html/2412.01829v1</w:t>
      </w:r>
    </w:p>
    <w:p>
      <w:pPr>
        <w:spacing w:line="360" w:lineRule="auto"/>
        <w:jc w:val="both"/>
      </w:pPr>
      <w:r>
        <w:rPr>
          <w:rFonts w:ascii="Bookman Old Style" w:hAnsi="Bookman Old Style" w:cs="Bookman Old Style" w:eastAsia="Bookman Old Style"/>
          <w:b w:val="0"/>
          <w:sz w:val="24"/>
        </w:rPr>
        <w:t>3. Survey and Analysis of Hallucinations in Large Language Models: Attribution to Prompting Strategies or Model Behavior – PubMed Central. https://pmc.ncbi.nlm.nih.gov/articles/PMC12518350/</w:t>
      </w:r>
    </w:p>
    <w:p>
      <w:pPr>
        <w:spacing w:line="360" w:lineRule="auto"/>
        <w:jc w:val="both"/>
      </w:pPr>
      <w:r>
        <w:rPr>
          <w:rFonts w:ascii="Bookman Old Style" w:hAnsi="Bookman Old Style" w:cs="Bookman Old Style" w:eastAsia="Bookman Old Style"/>
          <w:b w:val="0"/>
          <w:sz w:val="24"/>
        </w:rPr>
        <w:t>4. Mitigating LLM Hallucinations: A Comprehensive Review of Techniques and Architectures – Preprints.org. https://www.preprints.org/manuscript/202505.1955</w:t>
      </w:r>
    </w:p>
    <w:p>
      <w:pPr>
        <w:spacing w:line="360" w:lineRule="auto"/>
        <w:jc w:val="both"/>
      </w:pPr>
      <w:r>
        <w:rPr>
          <w:rFonts w:ascii="Bookman Old Style" w:hAnsi="Bookman Old Style" w:cs="Bookman Old Style" w:eastAsia="Bookman Old Style"/>
          <w:b w:val="0"/>
          <w:sz w:val="24"/>
        </w:rPr>
        <w:t>5. Hallucination-Free? Assessing the Reliability of Leading AI Legal Research Tools – Daniel E. Ho, Stanford. https://dho.stanford.edu/wp-content/uploads/Legal_RAG_Hallucinations.pdf</w:t>
      </w:r>
    </w:p>
    <w:p>
      <w:pPr>
        <w:spacing w:line="360" w:lineRule="auto"/>
        <w:jc w:val="both"/>
      </w:pPr>
      <w:r>
        <w:rPr>
          <w:rFonts w:ascii="Bookman Old Style" w:hAnsi="Bookman Old Style" w:cs="Bookman Old Style" w:eastAsia="Bookman Old Style"/>
          <w:b w:val="0"/>
          <w:sz w:val="24"/>
        </w:rPr>
        <w:t>6. On Hallucinations in Artificial Intelligence-Generated Content for Nuclear Medicine Imaging (the DREAM Report) – PubMed Central. https://pmc.ncbi.nlm.nih.gov/articles/PMC12866389/</w:t>
      </w:r>
    </w:p>
    <w:p>
      <w:pPr>
        <w:spacing w:line="360" w:lineRule="auto"/>
        <w:jc w:val="both"/>
      </w:pPr>
      <w:r>
        <w:rPr>
          <w:rFonts w:ascii="Bookman Old Style" w:hAnsi="Bookman Old Style" w:cs="Bookman Old Style" w:eastAsia="Bookman Old Style"/>
          <w:b w:val="0"/>
          <w:sz w:val="24"/>
        </w:rPr>
        <w:t>7. AI Hallucination Cases Data 2025 – Kaggle (umerhaddii). https://www.kaggle.com/datasets/umerhaddii/ai-hallucination-cases-data-2025</w:t>
      </w:r>
    </w:p>
    <w:p>
      <w:pPr>
        <w:spacing w:line="360" w:lineRule="auto"/>
        <w:jc w:val="both"/>
      </w:pPr>
      <w:r>
        <w:rPr>
          <w:rFonts w:ascii="Bookman Old Style" w:hAnsi="Bookman Old Style" w:cs="Bookman Old Style" w:eastAsia="Bookman Old Style"/>
          <w:b w:val="0"/>
          <w:sz w:val="24"/>
        </w:rPr>
        <w:t>8. Hallucination Mitigation Using Agentic AI Natural Language-Based Frameworks – AWS / arXiv 2501.13946. http://readwise-assets.s3.amazonaws.com/media/wisereads/articles/hallucination-mitigation-using/2501.13946v1.pdf</w:t>
      </w:r>
    </w:p>
    <w:p>
      <w:pPr>
        <w:spacing w:line="360" w:lineRule="auto"/>
        <w:jc w:val="both"/>
      </w:pPr>
      <w:r>
        <w:rPr>
          <w:rFonts w:ascii="Bookman Old Style" w:hAnsi="Bookman Old Style" w:cs="Bookman Old Style" w:eastAsia="Bookman Old Style"/>
          <w:b w:val="0"/>
          <w:sz w:val="24"/>
        </w:rPr>
        <w:t>9. Multi-Agent Undercover Gaming: Hallucination Removal via Counterfactual Test for Multimodal Reasoning – arXiv. https://arxiv.org/html/2511.11182v1</w:t>
      </w:r>
    </w:p>
    <w:p>
      <w:pPr>
        <w:spacing w:line="360" w:lineRule="auto"/>
        <w:jc w:val="both"/>
      </w:pPr>
      <w:r>
        <w:rPr>
          <w:rFonts w:ascii="Bookman Old Style" w:hAnsi="Bookman Old Style" w:cs="Bookman Old Style" w:eastAsia="Bookman Old Style"/>
          <w:b w:val="0"/>
          <w:sz w:val="24"/>
        </w:rPr>
        <w:t>10. MARCH: Multi-Agent Reinforced Self-Check for LLM – arXiv. https://arxiv.org/pdf/2603.24579</w:t>
      </w:r>
    </w:p>
    <w:p>
      <w:pPr>
        <w:spacing w:line="360" w:lineRule="auto"/>
        <w:jc w:val="both"/>
      </w:pPr>
      <w:r>
        <w:rPr>
          <w:rFonts w:ascii="Bookman Old Style" w:hAnsi="Bookman Old Style" w:cs="Bookman Old Style" w:eastAsia="Bookman Old Style"/>
          <w:b w:val="0"/>
          <w:sz w:val="24"/>
        </w:rPr>
        <w:t>11. Mitigating Manipulation and Enhancing Persuasion: A Reflective Multi-Agent Approach for Legal Argument Generation – arXiv. https://arxiv.org/html/2506.02992v1</w:t>
      </w:r>
    </w:p>
    <w:p>
      <w:pPr>
        <w:spacing w:line="360" w:lineRule="auto"/>
        <w:jc w:val="both"/>
      </w:pPr>
      <w:r>
        <w:rPr>
          <w:rFonts w:ascii="Bookman Old Style" w:hAnsi="Bookman Old Style" w:cs="Bookman Old Style" w:eastAsia="Bookman Old Style"/>
          <w:b w:val="0"/>
          <w:sz w:val="24"/>
        </w:rPr>
        <w:t>12. Green AI: A Systematic Review and Meta-Analysis of Its Definitions, Lifecycle Models, Hardware and Measurement Attempts – arXiv. https://arxiv.org/html/2511.07090v4</w:t>
      </w:r>
    </w:p>
    <w:p>
      <w:pPr>
        <w:spacing w:line="360" w:lineRule="auto"/>
        <w:jc w:val="both"/>
      </w:pPr>
      <w:r>
        <w:rPr>
          <w:rFonts w:ascii="Bookman Old Style" w:hAnsi="Bookman Old Style" w:cs="Bookman Old Style" w:eastAsia="Bookman Old Style"/>
          <w:b w:val="0"/>
          <w:sz w:val="24"/>
        </w:rPr>
        <w:t>13. Dynamic Weighted Consensus Framework for LLM Multi-Agent Debate – Springer Professional. https://www.springerprofessional.de/en/dynamic-weighted-consensus-framework-for-llm-multi-agent-debate/51722500</w:t>
      </w:r>
    </w:p>
    <w:p>
      <w:pPr>
        <w:spacing w:line="360" w:lineRule="auto"/>
        <w:jc w:val="both"/>
      </w:pPr>
      <w:r>
        <w:rPr>
          <w:rFonts w:ascii="Bookman Old Style" w:hAnsi="Bookman Old Style" w:cs="Bookman Old Style" w:eastAsia="Bookman Old Style"/>
          <w:b w:val="0"/>
          <w:sz w:val="24"/>
        </w:rPr>
        <w:t>14. Guideline for Writing Master's Thesis – TU Chemnitz. https://www.tu-chemnitz.de/informatik/ce/files/guidelines_2025.pdf</w:t>
      </w:r>
    </w:p>
    <w:p>
      <w:pPr>
        <w:spacing w:line="360" w:lineRule="auto"/>
        <w:jc w:val="both"/>
      </w:pPr>
      <w:r>
        <w:rPr>
          <w:rFonts w:ascii="Bookman Old Style" w:hAnsi="Bookman Old Style" w:cs="Bookman Old Style" w:eastAsia="Bookman Old Style"/>
          <w:b w:val="0"/>
          <w:sz w:val="24"/>
        </w:rPr>
        <w:t>15. Survey and Analysis of Hallucinations in Large Language Models – Frontiers in Artificial Intelligence. https://www.frontiersin.org/journals/artificial-intelligence/articles/10.3389/frai.2025.1622292/full</w:t>
      </w:r>
    </w:p>
    <w:p>
      <w:pPr>
        <w:spacing w:line="360" w:lineRule="auto"/>
        <w:jc w:val="both"/>
      </w:pPr>
      <w:r>
        <w:rPr>
          <w:rFonts w:ascii="Bookman Old Style" w:hAnsi="Bookman Old Style" w:cs="Bookman Old Style" w:eastAsia="Bookman Old Style"/>
          <w:b w:val="0"/>
          <w:sz w:val="24"/>
        </w:rPr>
        <w:t>16. GPTZero Finds 100 New Hallucinations in NeurIPS 2025 Accepted Papers – GPTZero. https://gptzero.me/news/neurips/</w:t>
      </w:r>
    </w:p>
    <w:p>
      <w:pPr>
        <w:spacing w:line="360" w:lineRule="auto"/>
        <w:jc w:val="both"/>
      </w:pPr>
      <w:r>
        <w:rPr>
          <w:rFonts w:ascii="Bookman Old Style" w:hAnsi="Bookman Old Style" w:cs="Bookman Old Style" w:eastAsia="Bookman Old Style"/>
          <w:b w:val="0"/>
          <w:sz w:val="24"/>
        </w:rPr>
        <w:t>17. Medical Hallucination in Foundation Models and Their Impact on Healthcare – medRxiv. https://www.medrxiv.org/content/10.1101/2025.02.28.25323115v2.full-text</w:t>
      </w:r>
    </w:p>
    <w:p>
      <w:pPr>
        <w:spacing w:line="360" w:lineRule="auto"/>
        <w:jc w:val="both"/>
      </w:pPr>
      <w:r>
        <w:rPr>
          <w:rFonts w:ascii="Bookman Old Style" w:hAnsi="Bookman Old Style" w:cs="Bookman Old Style" w:eastAsia="Bookman Old Style"/>
          <w:b w:val="0"/>
          <w:sz w:val="24"/>
        </w:rPr>
        <w:t>18. DefAn: Definitive Answer Dataset for LLM Hallucination Evaluation – MDPI. https://www.mdpi.com/2078-2489/16/11/937</w:t>
      </w:r>
    </w:p>
    <w:p>
      <w:pPr>
        <w:spacing w:line="360" w:lineRule="auto"/>
        <w:jc w:val="both"/>
      </w:pPr>
      <w:r>
        <w:rPr>
          <w:rFonts w:ascii="Bookman Old Style" w:hAnsi="Bookman Old Style" w:cs="Bookman Old Style" w:eastAsia="Bookman Old Style"/>
          <w:b w:val="0"/>
          <w:sz w:val="24"/>
        </w:rPr>
        <w:t>19. Reducing AI Hallucinations: 6 Prompt Engineering Techniques That Actually Work – Medium. https://medium.com/@aysan.nazarmohamady/reducing-ai-hallucinations-6-prompt-engineering-techniques-that-actually-work-16b583797bd0</w:t>
      </w:r>
    </w:p>
    <w:p>
      <w:pPr>
        <w:spacing w:line="360" w:lineRule="auto"/>
        <w:jc w:val="both"/>
      </w:pPr>
      <w:r>
        <w:rPr>
          <w:rFonts w:ascii="Bookman Old Style" w:hAnsi="Bookman Old Style" w:cs="Bookman Old Style" w:eastAsia="Bookman Old Style"/>
          <w:b w:val="0"/>
          <w:sz w:val="24"/>
        </w:rPr>
        <w:t>20. Enhancing AI Accuracy: Decreasing Hallucinations with CoVe – PromptHub. https://www.prompthub.us/blog/enhancing-ai-accuracy-decreasing-hallucinations-with-cove</w:t>
      </w:r>
    </w:p>
    <w:p>
      <w:pPr>
        <w:spacing w:line="360" w:lineRule="auto"/>
        <w:jc w:val="both"/>
      </w:pPr>
      <w:r>
        <w:rPr>
          <w:rFonts w:ascii="Bookman Old Style" w:hAnsi="Bookman Old Style" w:cs="Bookman Old Style" w:eastAsia="Bookman Old Style"/>
          <w:b w:val="0"/>
          <w:sz w:val="24"/>
        </w:rPr>
        <w:t>21. Multi-Agent RAG System Architecture – ResearchGate. https://www.researchgate.net/figure/Multi-Agent-RAG-System-Architecture_fig1_386577007</w:t>
      </w:r>
    </w:p>
    <w:p>
      <w:pPr>
        <w:spacing w:line="360" w:lineRule="auto"/>
        <w:jc w:val="both"/>
      </w:pPr>
      <w:r>
        <w:rPr>
          <w:rFonts w:ascii="Bookman Old Style" w:hAnsi="Bookman Old Style" w:cs="Bookman Old Style" w:eastAsia="Bookman Old Style"/>
          <w:b w:val="0"/>
          <w:sz w:val="24"/>
        </w:rPr>
        <w:t>22. Enhancing the Performance of LLMs for Mathematics Question Answering through Multi-Embedding and Confidence Scoring – arXiv. https://arxiv.org/html/2507.17442v3</w:t>
      </w:r>
    </w:p>
    <w:p>
      <w:pPr>
        <w:spacing w:line="360" w:lineRule="auto"/>
        <w:jc w:val="both"/>
      </w:pPr>
      <w:r>
        <w:rPr>
          <w:rFonts w:ascii="Bookman Old Style" w:hAnsi="Bookman Old Style" w:cs="Bookman Old Style" w:eastAsia="Bookman Old Style"/>
          <w:b w:val="0"/>
          <w:sz w:val="24"/>
        </w:rPr>
        <w:t>23. RAG-KG-IL: A Multi-Agent Hybrid Framework for Reducing Hallucinations and Enhancing LLM Reasoning through RAG and Incremental Knowledge Graph Learning Integration – arXiv. https://arxiv.org/abs/2503.13514</w:t>
      </w:r>
    </w:p>
    <w:p>
      <w:pPr>
        <w:spacing w:line="360" w:lineRule="auto"/>
        <w:jc w:val="both"/>
      </w:pPr>
      <w:r>
        <w:rPr>
          <w:rFonts w:ascii="Bookman Old Style" w:hAnsi="Bookman Old Style" w:cs="Bookman Old Style" w:eastAsia="Bookman Old Style"/>
          <w:b w:val="0"/>
          <w:sz w:val="24"/>
        </w:rPr>
        <w:t>24. MAIN-RAG: Multi-Agent Filtering Retrieval-Augmented Generation – arXiv. https://arxiv.org/html/2501.00332v1</w:t>
      </w:r>
    </w:p>
    <w:p>
      <w:pPr>
        <w:spacing w:line="360" w:lineRule="auto"/>
        <w:jc w:val="both"/>
      </w:pPr>
      <w:r>
        <w:rPr>
          <w:rFonts w:ascii="Bookman Old Style" w:hAnsi="Bookman Old Style" w:cs="Bookman Old Style" w:eastAsia="Bookman Old Style"/>
          <w:b w:val="0"/>
          <w:sz w:val="24"/>
        </w:rPr>
        <w:t>25. What are Agentic Workflows? Architecture, Use Cases, and How To Build Them – Orkes. https://orkes.io/blog/what-are-agentic-workflows/</w:t>
      </w:r>
    </w:p>
    <w:p>
      <w:pPr>
        <w:spacing w:line="360" w:lineRule="auto"/>
        <w:jc w:val="both"/>
      </w:pPr>
      <w:r>
        <w:rPr>
          <w:rFonts w:ascii="Bookman Old Style" w:hAnsi="Bookman Old Style" w:cs="Bookman Old Style" w:eastAsia="Bookman Old Style"/>
          <w:b w:val="0"/>
          <w:sz w:val="24"/>
        </w:rPr>
        <w:t>26. Enhancing Multi-Agent Debate System Performance via Confidence Expression – ACL Anthology. https://aclanthology.org/2025.findings-emnlp.343.pdf</w:t>
      </w:r>
    </w:p>
    <w:p>
      <w:pPr>
        <w:spacing w:line="360" w:lineRule="auto"/>
        <w:jc w:val="both"/>
      </w:pPr>
      <w:r>
        <w:rPr>
          <w:rFonts w:ascii="Bookman Old Style" w:hAnsi="Bookman Old Style" w:cs="Bookman Old Style" w:eastAsia="Bookman Old Style"/>
          <w:b w:val="0"/>
          <w:sz w:val="24"/>
        </w:rPr>
        <w:t>27. Confidence-Weighted Consensus Estimation – Emergent Mind. https://www.emergentmind.com/topics/confidence-weighted-consensus-estimation</w:t>
      </w:r>
    </w:p>
    <w:p>
      <w:pPr>
        <w:spacing w:line="360" w:lineRule="auto"/>
        <w:jc w:val="both"/>
      </w:pPr>
      <w:r>
        <w:rPr>
          <w:rFonts w:ascii="Bookman Old Style" w:hAnsi="Bookman Old Style" w:cs="Bookman Old Style" w:eastAsia="Bookman Old Style"/>
          <w:b w:val="0"/>
          <w:sz w:val="24"/>
        </w:rPr>
        <w:t>28. Minimizing Hallucinations and Communication Costs: Adversarial Debate and Voting Mechanisms in LLM-Based Multi-Agents – MDPI. https://www.mdpi.com/2076-3417/15/7/3676</w:t>
      </w:r>
    </w:p>
    <w:p>
      <w:pPr>
        <w:spacing w:line="360" w:lineRule="auto"/>
        <w:jc w:val="both"/>
      </w:pPr>
      <w:r>
        <w:rPr>
          <w:rFonts w:ascii="Bookman Old Style" w:hAnsi="Bookman Old Style" w:cs="Bookman Old Style" w:eastAsia="Bookman Old Style"/>
          <w:b w:val="0"/>
          <w:sz w:val="24"/>
        </w:rPr>
        <w:t>29. Adding Confidence Score for LLM Results in RAG Chain Scenarios – Medium. https://medium.com/@johnpaulthermadomthomas/adding-confidence-score-for-lll-results-in-rag-chain-scenarios-7ccbaf6b74b6</w:t>
      </w:r>
    </w:p>
    <w:p>
      <w:pPr>
        <w:spacing w:line="360" w:lineRule="auto"/>
        <w:jc w:val="both"/>
      </w:pPr>
      <w:r>
        <w:rPr>
          <w:rFonts w:ascii="Bookman Old Style" w:hAnsi="Bookman Old Style" w:cs="Bookman Old Style" w:eastAsia="Bookman Old Style"/>
          <w:b w:val="0"/>
          <w:sz w:val="24"/>
        </w:rPr>
        <w:t>30. Teaming LLMs to Detect and Mitigate Hallucinations – arXiv. https://arxiv.org/html/2510.19507v1</w:t>
      </w:r>
    </w:p>
    <w:p>
      <w:pPr>
        <w:spacing w:line="360" w:lineRule="auto"/>
        <w:jc w:val="both"/>
      </w:pPr>
      <w:r>
        <w:rPr>
          <w:rFonts w:ascii="Bookman Old Style" w:hAnsi="Bookman Old Style" w:cs="Bookman Old Style" w:eastAsia="Bookman Old Style"/>
          <w:b w:val="0"/>
          <w:sz w:val="24"/>
        </w:rPr>
        <w:t>31. Roundtable Policy: Confidence-Weighted-Consensus Aggregation Improves Multi-Agent-System Reasoning – arXiv. https://arxiv.org/html/2509.16839v2</w:t>
      </w:r>
    </w:p>
    <w:p>
      <w:pPr>
        <w:spacing w:line="360" w:lineRule="auto"/>
        <w:jc w:val="both"/>
      </w:pPr>
      <w:r>
        <w:rPr>
          <w:rFonts w:ascii="Bookman Old Style" w:hAnsi="Bookman Old Style" w:cs="Bookman Old Style" w:eastAsia="Bookman Old Style"/>
          <w:b w:val="0"/>
          <w:sz w:val="24"/>
        </w:rPr>
        <w:t>32. Improved Multi-Agent Knowledge Sharing System Using Knowledge Graphs for News Bias Detection and Fact-Checking – ResearchGate. https://www.researchgate.net/publication/402147878_Improved_multi-agent_knowledge_sharing_system_using_knowledge_graphs_for_news_bias_detection_and_fact-checking</w:t>
      </w:r>
    </w:p>
    <w:p>
      <w:pPr>
        <w:spacing w:line="360" w:lineRule="auto"/>
        <w:jc w:val="both"/>
      </w:pPr>
      <w:r>
        <w:rPr>
          <w:rFonts w:ascii="Bookman Old Style" w:hAnsi="Bookman Old Style" w:cs="Bookman Old Style" w:eastAsia="Bookman Old Style"/>
          <w:b w:val="0"/>
          <w:sz w:val="24"/>
        </w:rPr>
        <w:t>33. KARMA: Leveraging Multi-Agent LLMs for Automated Knowledge Graph Enrichment – OpenReview. https://openreview.net/forum?id=k0wyi4cOGy</w:t>
      </w:r>
    </w:p>
    <w:p>
      <w:pPr>
        <w:spacing w:line="360" w:lineRule="auto"/>
        <w:jc w:val="both"/>
      </w:pPr>
      <w:r>
        <w:rPr>
          <w:rFonts w:ascii="Bookman Old Style" w:hAnsi="Bookman Old Style" w:cs="Bookman Old Style" w:eastAsia="Bookman Old Style"/>
          <w:b w:val="0"/>
          <w:sz w:val="24"/>
        </w:rPr>
        <w:t>34. MAD-Logic: Multi-Agent Debate Enhances Symbolic Translation and Reasoning – OpenReview. https://openreview.net/forum?id=rdE9qxGfIv</w:t>
      </w:r>
    </w:p>
    <w:p>
      <w:pPr>
        <w:spacing w:line="360" w:lineRule="auto"/>
        <w:jc w:val="both"/>
      </w:pPr>
      <w:r>
        <w:rPr>
          <w:rFonts w:ascii="Bookman Old Style" w:hAnsi="Bookman Old Style" w:cs="Bookman Old Style" w:eastAsia="Bookman Old Style"/>
          <w:b w:val="0"/>
          <w:sz w:val="24"/>
        </w:rPr>
        <w:t>35. We Must Harness Technology for a Greener AI Energy Future – World Economic Forum. https://www.weforum.org/stories/2025/08/greener-ai-technology-convergence/</w:t>
      </w:r>
    </w:p>
    <w:p>
      <w:pPr>
        <w:spacing w:line="360" w:lineRule="auto"/>
        <w:jc w:val="both"/>
      </w:pPr>
      <w:r>
        <w:rPr>
          <w:rFonts w:ascii="Bookman Old Style" w:hAnsi="Bookman Old Style" w:cs="Bookman Old Style" w:eastAsia="Bookman Old Style"/>
          <w:b w:val="0"/>
          <w:sz w:val="24"/>
        </w:rPr>
        <w:t>36. Sustainable AI: Emerging Trends, Impacts, and Future Challenges – IEEE Computer Society. https://www.computer.org/csdl/journal/su/2025/06/11168278/2a5v8XZUxX2</w:t>
      </w:r>
    </w:p>
    <w:p>
      <w:pPr>
        <w:spacing w:line="360" w:lineRule="auto"/>
        <w:jc w:val="both"/>
      </w:pPr>
      <w:r>
        <w:rPr>
          <w:rFonts w:ascii="Bookman Old Style" w:hAnsi="Bookman Old Style" w:cs="Bookman Old Style" w:eastAsia="Bookman Old Style"/>
          <w:b w:val="0"/>
          <w:sz w:val="24"/>
        </w:rPr>
        <w:t>37. GreenAI: A Comparative Analysis of Environmental Efficiency in LLM-Generated Code – IEEE Xplore. https://ieeexplore.ieee.org/iel8/6287639/11323511/11366639.pdf</w:t>
      </w:r>
    </w:p>
    <w:p>
      <w:pPr>
        <w:spacing w:line="360" w:lineRule="auto"/>
        <w:jc w:val="both"/>
      </w:pPr>
      <w:r>
        <w:rPr>
          <w:rFonts w:ascii="Bookman Old Style" w:hAnsi="Bookman Old Style" w:cs="Bookman Old Style" w:eastAsia="Bookman Old Style"/>
          <w:b w:val="0"/>
          <w:sz w:val="24"/>
        </w:rPr>
        <w:t>38. Sustainable Generative AI and Quantum Computing: Review Assessment on the Environmental Impact of Generative AI and Quantum Technologies – Frontiers in Sustainability. https://www.frontiersin.org/journals/sustainability/articles/10.3389/frsus.2026.1726832/full</w:t>
      </w:r>
    </w:p>
    <w:p>
      <w:pPr>
        <w:spacing w:line="360" w:lineRule="auto"/>
        <w:jc w:val="both"/>
      </w:pPr>
      <w:r>
        <w:rPr>
          <w:rFonts w:ascii="Bookman Old Style" w:hAnsi="Bookman Old Style" w:cs="Bookman Old Style" w:eastAsia="Bookman Old Style"/>
          <w:b w:val="0"/>
          <w:sz w:val="24"/>
        </w:rPr>
        <w:t>39. The Global Landscape of Environmental AI Regulation: From the Cost of Reasoning to a Right to Green AI – arXiv. https://arxiv.org/html/2603.00068v1</w:t>
      </w:r>
    </w:p>
    <w:p>
      <w:pPr>
        <w:spacing w:line="360" w:lineRule="auto"/>
        <w:jc w:val="both"/>
      </w:pPr>
      <w:r>
        <w:rPr>
          <w:rFonts w:ascii="Bookman Old Style" w:hAnsi="Bookman Old Style" w:cs="Bookman Old Style" w:eastAsia="Bookman Old Style"/>
          <w:b w:val="0"/>
          <w:sz w:val="24"/>
        </w:rPr>
        <w:t>40. The Illusion of Progress: Re-evaluating Hallucination Detection in LLMs – ACL Anthology. https://aclanthology.org/2025.emnlp-main.1761.pdf</w:t>
      </w:r>
    </w:p>
    <w:p>
      <w:pPr>
        <w:spacing w:line="360" w:lineRule="auto"/>
        <w:jc w:val="both"/>
      </w:pPr>
      <w:r>
        <w:rPr>
          <w:rFonts w:ascii="Bookman Old Style" w:hAnsi="Bookman Old Style" w:cs="Bookman Old Style" w:eastAsia="Bookman Old Style"/>
          <w:b w:val="0"/>
          <w:sz w:val="24"/>
        </w:rPr>
        <w:t>41. The Illusion of Progress: Re-evaluating Hallucination Detection in LLMs – arXiv. https://arxiv.org/html/2508.08285v2</w:t>
      </w:r>
    </w:p>
    <w:p>
      <w:pPr>
        <w:spacing w:line="360" w:lineRule="auto"/>
        <w:jc w:val="both"/>
      </w:pPr>
      <w:r>
        <w:rPr>
          <w:rFonts w:ascii="Bookman Old Style" w:hAnsi="Bookman Old Style" w:cs="Bookman Old Style" w:eastAsia="Bookman Old Style"/>
          <w:b w:val="0"/>
          <w:sz w:val="24"/>
        </w:rPr>
        <w:t>42. LLM-as-a-Judge – Langfuse. https://langfuse.com/docs/evaluation/evaluation-methods/llm-as-a-judge</w:t>
      </w:r>
    </w:p>
    <w:p>
      <w:pPr>
        <w:spacing w:line="360" w:lineRule="auto"/>
        <w:jc w:val="both"/>
      </w:pPr>
      <w:r>
        <w:rPr>
          <w:rFonts w:ascii="Bookman Old Style" w:hAnsi="Bookman Old Style" w:cs="Bookman Old Style" w:eastAsia="Bookman Old Style"/>
          <w:b w:val="0"/>
          <w:sz w:val="24"/>
        </w:rPr>
        <w:t>43. LLM-as-a-Judge Metrics – Confident AI Docs. https://www.confident-ai.com/docs/llm-evaluation/core-concepts/llm-as-a-judge</w:t>
      </w:r>
    </w:p>
    <w:p>
      <w:pPr>
        <w:spacing w:line="360" w:lineRule="auto"/>
        <w:jc w:val="both"/>
      </w:pPr>
      <w:r>
        <w:rPr>
          <w:rFonts w:ascii="Bookman Old Style" w:hAnsi="Bookman Old Style" w:cs="Bookman Old Style" w:eastAsia="Bookman Old Style"/>
          <w:b w:val="0"/>
          <w:sz w:val="24"/>
        </w:rPr>
        <w:t>44. LLM-as-Judge: 7 Best Practices and Evaluation Templates – Monte Carlo Data. https://www.montecarlodata.com/blog-llm-as-judge/</w:t>
      </w:r>
    </w:p>
    <w:p>
      <w:pPr>
        <w:spacing w:line="360" w:lineRule="auto"/>
        <w:jc w:val="both"/>
      </w:pPr>
      <w:r>
        <w:rPr>
          <w:rFonts w:ascii="Bookman Old Style" w:hAnsi="Bookman Old Style" w:cs="Bookman Old Style" w:eastAsia="Bookman Old Style"/>
          <w:b w:val="0"/>
          <w:sz w:val="24"/>
        </w:rPr>
        <w:t>45. arXiv:2504.07069v1 [cs.CL] – Hallucination Evaluation. https://arxiv.org/pdf/2504.07069</w:t>
      </w:r>
    </w:p>
    <w:p>
      <w:pPr>
        <w:spacing w:line="360" w:lineRule="auto"/>
        <w:jc w:val="both"/>
      </w:pPr>
      <w:r>
        <w:rPr>
          <w:rFonts w:ascii="Bookman Old Style" w:hAnsi="Bookman Old Style" w:cs="Bookman Old Style" w:eastAsia="Bookman Old Style"/>
          <w:b w:val="0"/>
          <w:sz w:val="24"/>
        </w:rPr>
        <w:t>46. EdinburghNLP/awesome-hallucination-detection – GitHub. https://github.com/EdinburghNLP/awesome-hallucination-detection</w:t>
      </w:r>
    </w:p>
    <w:p>
      <w:pPr>
        <w:spacing w:line="360" w:lineRule="auto"/>
        <w:jc w:val="both"/>
      </w:pPr>
      <w:r>
        <w:rPr>
          <w:rFonts w:ascii="Bookman Old Style" w:hAnsi="Bookman Old Style" w:cs="Bookman Old Style" w:eastAsia="Bookman Old Style"/>
          <w:b w:val="0"/>
          <w:sz w:val="24"/>
        </w:rPr>
        <w:t>47. The FACTS Leaderboard: A Comprehensive Benchmark for Large Language Model Factuality – DeepMind. https://storage.googleapis.com/deepmind-media/FACTS/FACTS_benchmark_suite_paper.pdf</w:t>
      </w:r>
    </w:p>
    <w:p>
      <w:pPr>
        <w:spacing w:line="360" w:lineRule="auto"/>
        <w:jc w:val="both"/>
      </w:pPr>
      <w:r>
        <w:rPr>
          <w:rFonts w:ascii="Bookman Old Style" w:hAnsi="Bookman Old Style" w:cs="Bookman Old Style" w:eastAsia="Bookman Old Style"/>
          <w:b w:val="0"/>
          <w:sz w:val="24"/>
        </w:rPr>
        <w:t>48. FACTS Benchmark Suite: Systematically Evaluating the Factuality of Large Language Models – DeepMind Blog. https://deepmind.google/blog/facts-benchmark-suite-systematically-evaluating-the-factuality-of-large-language-models/</w:t>
      </w:r>
    </w:p>
    <w:p>
      <w:pPr>
        <w:spacing w:line="360" w:lineRule="auto"/>
        <w:jc w:val="both"/>
      </w:pPr>
      <w:r>
        <w:rPr>
          <w:rFonts w:ascii="Bookman Old Style" w:hAnsi="Bookman Old Style" w:cs="Bookman Old Style" w:eastAsia="Bookman Old Style"/>
          <w:b w:val="0"/>
          <w:sz w:val="24"/>
        </w:rPr>
        <w:t>49. Introducing Legal RAG Bench – Isaacus. https://isaacus.com/blog/legal-rag-bench</w:t>
      </w:r>
    </w:p>
    <w:p>
      <w:pPr>
        <w:spacing w:line="360" w:lineRule="auto"/>
        <w:jc w:val="both"/>
      </w:pPr>
      <w:r>
        <w:rPr>
          <w:rFonts w:ascii="Bookman Old Style" w:hAnsi="Bookman Old Style" w:cs="Bookman Old Style" w:eastAsia="Bookman Old Style"/>
          <w:b w:val="0"/>
          <w:sz w:val="24"/>
        </w:rPr>
        <w:t>50. LegalBench-RAG: A Benchmark for Retrieval-Augmented Generation in the Legal Domain – arXiv. https://arxiv.org/abs/2408.10343</w:t>
      </w:r>
    </w:p>
    <w:p>
      <w:pPr>
        <w:spacing w:line="360" w:lineRule="auto"/>
        <w:jc w:val="both"/>
      </w:pPr>
      <w:r>
        <w:rPr>
          <w:rFonts w:ascii="Bookman Old Style" w:hAnsi="Bookman Old Style" w:cs="Bookman Old Style" w:eastAsia="Bookman Old Style"/>
          <w:b w:val="0"/>
          <w:sz w:val="24"/>
        </w:rPr>
        <w:t>51. Retrieval-Augmented Generation (RAG) for Evaluating Regulatory Compliance of Drug Information and Clinical Trial Protocols – PubMed Central. https://pmc.ncbi.nlm.nih.gov/articles/PMC12917324/</w:t>
      </w:r>
    </w:p>
    <w:p>
      <w:pPr>
        <w:spacing w:line="360" w:lineRule="auto"/>
        <w:jc w:val="both"/>
      </w:pPr>
      <w:r>
        <w:rPr>
          <w:rFonts w:ascii="Bookman Old Style" w:hAnsi="Bookman Old Style" w:cs="Bookman Old Style" w:eastAsia="Bookman Old Style"/>
          <w:b w:val="0"/>
          <w:sz w:val="24"/>
        </w:rPr>
        <w:t>52. vectara/hallucination-leaderboard – GitHub. https://github.com/vectara/hallucination-leaderboard</w:t>
      </w:r>
    </w:p>
    <w:p>
      <w:pPr>
        <w:spacing w:line="360" w:lineRule="auto"/>
        <w:jc w:val="both"/>
      </w:pPr>
      <w:r>
        <w:rPr>
          <w:rFonts w:ascii="Bookman Old Style" w:hAnsi="Bookman Old Style" w:cs="Bookman Old Style" w:eastAsia="Bookman Old Style"/>
          <w:b w:val="0"/>
          <w:sz w:val="24"/>
        </w:rPr>
        <w:t>53. HalluLens: LLM Hallucination Benchmark – ACL Anthology. https://aclanthology.org/2025.acl-long.1176.pdf</w:t>
      </w:r>
    </w:p>
    <w:p>
      <w:pPr>
        <w:spacing w:line="360" w:lineRule="auto"/>
        <w:jc w:val="both"/>
      </w:pPr>
      <w:r>
        <w:rPr>
          <w:rFonts w:ascii="Bookman Old Style" w:hAnsi="Bookman Old Style" w:cs="Bookman Old Style" w:eastAsia="Bookman Old Style"/>
          <w:b w:val="0"/>
          <w:sz w:val="24"/>
        </w:rPr>
        <w:t>54. HalluLens: LLM Hallucination Benchmark – arXiv. https://arxiv.org/html/2504.17550v1</w:t>
      </w:r>
    </w:p>
    <w:p>
      <w:pPr>
        <w:spacing w:line="360" w:lineRule="auto"/>
        <w:jc w:val="both"/>
      </w:pPr>
      <w:r>
        <w:rPr>
          <w:rFonts w:ascii="Bookman Old Style" w:hAnsi="Bookman Old Style" w:cs="Bookman Old Style" w:eastAsia="Bookman Old Style"/>
          <w:b w:val="0"/>
          <w:sz w:val="24"/>
        </w:rPr>
        <w:t>55. Mitigating LLM Hallucinations Using a Multi-Agent Framework – MDPI. https://www.mdpi.com/2078-2489/16/7/517</w:t>
      </w:r>
    </w:p>
    <w:p>
      <w:pPr>
        <w:spacing w:line="360" w:lineRule="auto"/>
        <w:jc w:val="both"/>
      </w:pPr>
      <w:r>
        <w:rPr>
          <w:rFonts w:ascii="Bookman Old Style" w:hAnsi="Bookman Old Style" w:cs="Bookman Old Style" w:eastAsia="Bookman Old Style"/>
          <w:b w:val="0"/>
          <w:sz w:val="24"/>
        </w:rPr>
        <w:t>56. GraphCheck: Breaking Long-Term Text Barriers with Extracted Knowledge Graph-Powered Fact-Checking – PubMed Central. https://pmc.ncbi.nlm.nih.gov/articles/PMC12360635/</w:t>
      </w:r>
    </w:p>
    <w:p>
      <w:pPr>
        <w:spacing w:line="360" w:lineRule="auto"/>
        <w:jc w:val="both"/>
      </w:pPr>
      <w:r>
        <w:rPr>
          <w:rFonts w:ascii="Bookman Old Style" w:hAnsi="Bookman Old Style" w:cs="Bookman Old Style" w:eastAsia="Bookman Old Style"/>
          <w:b w:val="0"/>
          <w:sz w:val="24"/>
        </w:rPr>
        <w:t>57. Benchmarking and Understanding Entity-Level Hallucination Detection – arXiv. https://arxiv.org/html/2502.11948v3</w:t>
      </w:r>
    </w:p>
    <w:p>
      <w:pPr>
        <w:spacing w:line="360" w:lineRule="auto"/>
        <w:jc w:val="both"/>
      </w:pPr>
      <w:r>
        <w:rPr>
          <w:rFonts w:ascii="Bookman Old Style" w:hAnsi="Bookman Old Style" w:cs="Bookman Old Style" w:eastAsia="Bookman Old Style"/>
          <w:b w:val="0"/>
          <w:sz w:val="24"/>
        </w:rPr>
        <w:t>58. Confidence Calibration and Rationalization for LLMs via Multi-Agent Deliberation – arXiv. https://arxiv.org/html/2404.09127v1</w:t>
      </w:r>
    </w:p>
    <w:p>
      <w:pPr>
        <w:spacing w:line="360" w:lineRule="auto"/>
        <w:jc w:val="both"/>
      </w:pPr>
      <w:r>
        <w:rPr>
          <w:rFonts w:ascii="Bookman Old Style" w:hAnsi="Bookman Old Style" w:cs="Bookman Old Style" w:eastAsia="Bookman Old Style"/>
          <w:b w:val="0"/>
          <w:sz w:val="24"/>
        </w:rPr>
        <w:t>59. Leveraging Symmetry in Multi-Agent Code Generation: A Cross-Verification Collaboration Protocol for Competitive Programming – MDPI. https://www.mdpi.com/2073-8994/17/10/1660</w:t>
      </w:r>
    </w:p>
    <w:p>
      <w:pPr>
        <w:spacing w:line="360" w:lineRule="auto"/>
        <w:jc w:val="both"/>
      </w:pPr>
      <w:r>
        <w:rPr>
          <w:rFonts w:ascii="Bookman Old Style" w:hAnsi="Bookman Old Style" w:cs="Bookman Old Style" w:eastAsia="Bookman Old Style"/>
          <w:b w:val="0"/>
          <w:sz w:val="24"/>
        </w:rPr>
        <w:t>60. Lewis, P., Perez, E., Piktus, A., Petroni, F., Karpukhin, V., Goyal, N., et al. (2020). Retrieval-Augmented Generation for Knowledge-Intensive NLP Tasks. NeurIPS.</w:t>
      </w:r>
    </w:p>
    <w:p>
      <w:pPr>
        <w:spacing w:line="360" w:lineRule="auto"/>
        <w:jc w:val="both"/>
      </w:pPr>
      <w:r>
        <w:rPr>
          <w:rFonts w:ascii="Bookman Old Style" w:hAnsi="Bookman Old Style" w:cs="Bookman Old Style" w:eastAsia="Bookman Old Style"/>
          <w:b w:val="0"/>
          <w:sz w:val="24"/>
        </w:rPr>
        <w:t>61. Du, Y., Li, S., Torralba, A., Tenenbaum, J. B., and Mordatch, I. (2023). Improving Factuality and Reasoning in Language Models through Multi-Agent Debate. arXiv:2305.14325.</w:t>
      </w:r>
    </w:p>
    <w:p>
      <w:pPr>
        <w:spacing w:line="360" w:lineRule="auto"/>
        <w:jc w:val="both"/>
      </w:pPr>
      <w:r>
        <w:rPr>
          <w:rFonts w:ascii="Bookman Old Style" w:hAnsi="Bookman Old Style" w:cs="Bookman Old Style" w:eastAsia="Bookman Old Style"/>
          <w:b w:val="0"/>
          <w:sz w:val="24"/>
        </w:rPr>
        <w:t>62. Dhuliawala, S., Komeili, M., Xu, J., Raileanu, R., Li, X., Celikyilmaz, A., and Weston, J. (2023). Chain-of-Verification Reduces Hallucination in Large Language Models. arXiv:2309.11495.</w:t>
      </w:r>
    </w:p>
    <w:p>
      <w:pPr>
        <w:spacing w:line="360" w:lineRule="auto"/>
        <w:jc w:val="both"/>
      </w:pPr>
      <w:r>
        <w:rPr>
          <w:rFonts w:ascii="Bookman Old Style" w:hAnsi="Bookman Old Style" w:cs="Bookman Old Style" w:eastAsia="Bookman Old Style"/>
          <w:b w:val="0"/>
          <w:sz w:val="24"/>
        </w:rPr>
        <w:t>63. Reimers, N., and Gurevych, I. (2019). Sentence-BERT: Sentence Embeddings Using Siamese BERT-Networks. EMNLP. https://arxiv.org/abs/1908.10084</w:t>
      </w:r>
    </w:p>
    <w:p>
      <w:pPr>
        <w:spacing w:line="360" w:lineRule="auto"/>
        <w:jc w:val="both"/>
      </w:pPr>
      <w:r>
        <w:rPr>
          <w:rFonts w:ascii="Bookman Old Style" w:hAnsi="Bookman Old Style" w:cs="Bookman Old Style" w:eastAsia="Bookman Old Style"/>
          <w:b w:val="0"/>
          <w:sz w:val="24"/>
        </w:rPr>
        <w:t>64. LangChain documentation. https://python.langchain.com</w:t>
      </w:r>
    </w:p>
    <w:p>
      <w:pPr>
        <w:spacing w:line="360" w:lineRule="auto"/>
        <w:jc w:val="both"/>
      </w:pPr>
      <w:r>
        <w:rPr>
          <w:rFonts w:ascii="Bookman Old Style" w:hAnsi="Bookman Old Style" w:cs="Bookman Old Style" w:eastAsia="Bookman Old Style"/>
          <w:b w:val="0"/>
          <w:sz w:val="24"/>
        </w:rPr>
        <w:t>65. LangGraph documentation. https://langchain-ai.github.io/langgraph/</w:t>
      </w:r>
    </w:p>
    <w:p>
      <w:pPr>
        <w:spacing w:line="360" w:lineRule="auto"/>
        <w:jc w:val="both"/>
      </w:pPr>
      <w:r>
        <w:rPr>
          <w:rFonts w:ascii="Bookman Old Style" w:hAnsi="Bookman Old Style" w:cs="Bookman Old Style" w:eastAsia="Bookman Old Style"/>
          <w:b w:val="0"/>
          <w:sz w:val="24"/>
        </w:rPr>
        <w:t>66. Ollama project. https://ollama.com</w:t>
      </w:r>
    </w:p>
    <w:p>
      <w:pPr>
        <w:spacing w:line="360" w:lineRule="auto"/>
        <w:jc w:val="both"/>
      </w:pPr>
      <w:r>
        <w:rPr>
          <w:rFonts w:ascii="Bookman Old Style" w:hAnsi="Bookman Old Style" w:cs="Bookman Old Style" w:eastAsia="Bookman Old Style"/>
          <w:b w:val="0"/>
          <w:sz w:val="24"/>
        </w:rPr>
        <w:t>67. Neo4j Graph Database documentation. https://neo4j.com/docs</w:t>
      </w:r>
    </w:p>
    <w:p>
      <w:pPr>
        <w:spacing w:line="360" w:lineRule="auto"/>
        <w:jc w:val="both"/>
      </w:pPr>
      <w:r>
        <w:rPr>
          <w:rFonts w:ascii="Bookman Old Style" w:hAnsi="Bookman Old Style" w:cs="Bookman Old Style" w:eastAsia="Bookman Old Style"/>
          <w:b w:val="0"/>
          <w:sz w:val="24"/>
        </w:rPr>
        <w:t>68. ChromaDB documentation. https://docs.trychroma.com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Bookman Old Style" w:hAnsi="Bookman Old Style" w:cs="Bookman Old Style" w:eastAsia="Bookman Old Styl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