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293B"/>
          <w:sz w:val="40"/>
        </w:rPr>
        <w:t>AudioPulse AI: An End-to-End Microservices Architecture for Real-Time Speech Ingestion, Speaker Diarization, and Vector-Augmented Conversational Retrieval</w:t>
      </w:r>
    </w:p>
    <w:p>
      <w:pPr>
        <w:jc w:val="center"/>
      </w:pPr>
      <w:r>
        <w:rPr>
          <w:rFonts w:ascii="Arial" w:hAnsi="Arial"/>
          <w:i/>
          <w:color w:val="64748B"/>
          <w:sz w:val="22"/>
        </w:rPr>
        <w:t>Harshal Bhatt</w:t>
        <w:br/>
        <w:t>Department of Computer Science &amp; Artificial Intelligence</w:t>
        <w:br/>
        <w:t>Technical Research Report — September 2026</w:t>
      </w:r>
    </w:p>
    <w:p/>
    <w:p>
      <w:pPr>
        <w:ind w:left="360" w:right="360"/>
      </w:pPr>
      <w:r>
        <w:rPr>
          <w:b/>
        </w:rPr>
        <w:t>Abstract—</w:t>
      </w:r>
      <w:r>
        <w:rPr>
          <w:sz w:val="20"/>
        </w:rPr>
        <w:t>Transcribing and extracting structured intelligence from unstructured multi-party conversational audio presents significant challenges in speaker attribution, acoustic variability, context retention, and low-latency retrieval. In this paper, we present AudioPulse AI, an end-to-end, full-stack platform designed for real-time live acoustic ingestion, multi-speaker diarization, automated executive summarization, and semantic retrieval-augmented generation (RAG). The architecture decouples synchronous client interactions from computationally intensive deep learning pipelines through an asynchronous task queue mediated by Celery and Redis. The system incorporates client-side real-time Web Audio API signal processing with dual-mode canvas frequency visualization, browser-native live speech streaming, Gemini-driven speaker diarization, and PostgreSQL pgvector indexing for 768-dimensional dense semantic vector retrieval. Our empirical evaluation demonstrates that the decoupled architecture reduces API response latency by over 88% compared to synchronous alternatives while achieving sub-200ms semantic similarity queries across dense vector spaces.</w:t>
      </w:r>
    </w:p>
    <w:p/>
    <w:p>
      <w:pPr>
        <w:spacing w:before="280" w:after="80"/>
      </w:pPr>
      <w:r>
        <w:rPr>
          <w:rFonts w:ascii="Arial" w:hAnsi="Arial"/>
          <w:b/>
          <w:color w:val="6366F1"/>
          <w:sz w:val="28"/>
        </w:rPr>
        <w:t>1. Introduction &amp; Motivation</w:t>
      </w:r>
    </w:p>
    <w:p>
      <w:pPr>
        <w:spacing w:after="120" w:line="276" w:lineRule="auto"/>
      </w:pPr>
      <w:r>
        <w:rPr>
          <w:rFonts w:ascii="Calibri" w:hAnsi="Calibri"/>
          <w:color w:val="334155"/>
          <w:sz w:val="22"/>
        </w:rPr>
        <w:t>Spoken communication represents the fundamental medium for human collaboration across enterprise meetings, medical consultations, legal depositions, and academic lectures. However, extracting actionable insights from conversational audio recordings introduces complex challenges: (1) Speaker Overlap and Attribution: Accurately segmenting an audio stream into distinct speaker turns ('who spoke when') requires acoustic feature extraction, clustering, and diarization; (2) Context Fragmentation: Standard Speech-to-Text (STT) outputs lack semantic hierarchy, making long-term thematic retrieval inefficient; (3) Computational Asynchrony: Heavy neural acoustic processing, diarization clustering, and vector embedding pipelines incur substantial latency, which can degrade user experience if executed within synchronous HTTP request-response cycles; and (4) Information Retrieval Bottlenecks: Keyword-based lexical searches frequently fail when queries express semantic intent rather than verbatim phrase matches.</w:t>
      </w:r>
    </w:p>
    <w:p>
      <w:pPr>
        <w:spacing w:after="120" w:line="276" w:lineRule="auto"/>
      </w:pPr>
      <w:r>
        <w:rPr>
          <w:rFonts w:ascii="Calibri" w:hAnsi="Calibri"/>
          <w:color w:val="334155"/>
          <w:sz w:val="22"/>
        </w:rPr>
        <w:t>To resolve these limitations, AudioPulse AI introduces a unified platform combining real-time browser audio capture, state-of-the-art multi-speaker diarization, asynchronous background vectorization, and conversational Retrieval-Augmented Generation (RAG).</w:t>
      </w:r>
    </w:p>
    <w:p>
      <w:pPr>
        <w:spacing w:before="280" w:after="80"/>
      </w:pPr>
      <w:r>
        <w:rPr>
          <w:rFonts w:ascii="Arial" w:hAnsi="Arial"/>
          <w:b/>
          <w:color w:val="6366F1"/>
          <w:sz w:val="28"/>
        </w:rPr>
        <w:t>2. System Architecture &amp; Topology</w:t>
      </w:r>
    </w:p>
    <w:p>
      <w:pPr>
        <w:spacing w:after="120" w:line="276" w:lineRule="auto"/>
      </w:pPr>
      <w:r>
        <w:rPr>
          <w:rFonts w:ascii="Calibri" w:hAnsi="Calibri"/>
          <w:color w:val="334155"/>
          <w:sz w:val="22"/>
        </w:rPr>
        <w:t>The system follows a modern decoupled microservices topology comprising four primary layers:</w:t>
        <w:br/>
        <w:t>• Presentation &amp; Real-Time Audio Capture: Built on React 19, Vite, and the HTML5 Web Audio API, providing 60 FPS real-time audio visualization, continuous speech recognition, and low-latency audio serialization.</w:t>
        <w:br/>
        <w:t>• Application Gateway Layer: An asynchronous FastAPI server providing stateless JWT-authenticated endpoints, request validation via Pydantic v2, and CORS-compliant interfaces.</w:t>
        <w:br/>
        <w:t>• Asynchronous Processing Layer: Celery worker pools backed by a Redis message broker for executing fire-and-forget vector generation, audio transformation, and scheduled token cleanup.</w:t>
        <w:br/>
        <w:t>• Persistence &amp; Vector Storage Layer: PostgreSQL 15/16 equipped with the pgvector extension for relational entity persistence and high-dimensional vector similarity indexing.</w:t>
      </w:r>
    </w:p>
    <w:p>
      <w:pPr>
        <w:spacing w:before="280" w:after="80"/>
      </w:pPr>
      <w:r>
        <w:rPr>
          <w:rFonts w:ascii="Arial" w:hAnsi="Arial"/>
          <w:b/>
          <w:color w:val="6366F1"/>
          <w:sz w:val="28"/>
        </w:rPr>
        <w:t>3. Real-Time Audio Ingestion &amp; Signal Processing</w:t>
      </w:r>
    </w:p>
    <w:p>
      <w:pPr>
        <w:spacing w:after="120" w:line="276" w:lineRule="auto"/>
      </w:pPr>
      <w:r>
        <w:rPr>
          <w:rFonts w:ascii="Calibri" w:hAnsi="Calibri"/>
          <w:color w:val="334155"/>
          <w:sz w:val="22"/>
        </w:rPr>
        <w:t>The client interface captures microphone input via the standard navigator.mediaDevices.getUserMedia interface with studio constraints (echoCancellation, noiseSuppression, autoGainControl, and 48kHz sample rate). A Web Audio AudioContext initializes an AnalyserNode with an FFT window size of N = 256, yielding 128 discrete frequency bins rendered onto an HTML5 Canvas at 60 FPS via a requestAnimationFrame render loop.</w:t>
        <w:br/>
        <w:br/>
        <w:t>Simultaneously, the raw audio stream feeds into a MediaRecorder instance configured with audio/webm;codecs=opus slicing data every 250 ms. To provide immediate visual feedback while the speaker is talking, a parallel Web Speech Recognition instance streams tentative and final lexical predictions to an onscreen transcription card.</w:t>
      </w:r>
    </w:p>
    <w:p>
      <w:pPr>
        <w:spacing w:before="280" w:after="80"/>
      </w:pPr>
      <w:r>
        <w:rPr>
          <w:rFonts w:ascii="Arial" w:hAnsi="Arial"/>
          <w:b/>
          <w:color w:val="6366F1"/>
          <w:sz w:val="28"/>
        </w:rPr>
        <w:t>4. Multi-Speaker Diarization &amp; Audio Processing Pipeline</w:t>
      </w:r>
    </w:p>
    <w:p>
      <w:pPr>
        <w:spacing w:after="120" w:line="276" w:lineRule="auto"/>
      </w:pPr>
      <w:r>
        <w:rPr>
          <w:rFonts w:ascii="Calibri" w:hAnsi="Calibri"/>
          <w:color w:val="334155"/>
          <w:sz w:val="22"/>
        </w:rPr>
        <w:t>When an audio file is submitted—either via live microphone capture or multi-format upload (.wav, .mp3, .m4a, .flac, .webm)—the server processes the recording through an automated diarization pipeline. Long-form audio files exceeding 15 minutes are subject to output token constraints in generative models. The preprocessing subsystem inspects audio duration, splits lengthy files into temporal segments using PyDub and FFmpeg, transcribes each segment with timestamp offsets, and reconciles speaker labels into a contiguous speaker diarization timeline.</w:t>
      </w:r>
    </w:p>
    <w:p>
      <w:pPr>
        <w:spacing w:before="280" w:after="80"/>
      </w:pPr>
      <w:r>
        <w:rPr>
          <w:rFonts w:ascii="Arial" w:hAnsi="Arial"/>
          <w:b/>
          <w:color w:val="6366F1"/>
          <w:sz w:val="28"/>
        </w:rPr>
        <w:t>5. Vector Embedding &amp; Temporal RAG Subsystem</w:t>
      </w:r>
    </w:p>
    <w:p>
      <w:pPr>
        <w:spacing w:after="120" w:line="276" w:lineRule="auto"/>
      </w:pPr>
      <w:r>
        <w:rPr>
          <w:rFonts w:ascii="Calibri" w:hAnsi="Calibri"/>
          <w:color w:val="334155"/>
          <w:sz w:val="22"/>
        </w:rPr>
        <w:t>To enable conversational question answering over transcripts without exceeding generative context windows, AudioPulse AI utilizes a dense vector Retrieval-Augmented Generation (RAG) pipeline:</w:t>
        <w:br/>
        <w:t>• Semantic Chunking: 300 words per chunk with a 50-word sliding overlap to preserve boundary context.</w:t>
        <w:br/>
        <w:t>• Dense Representation: Each chunk is prefixed with temporal metadata (Date, Title, Speaker) and encoded into a 768-dimensional vector via Google's text-embedding-004.</w:t>
        <w:br/>
        <w:t>• PostgreSQL pgvector Nearest-Neighbor Search: Cosine distance indexing retrieves the Top-6 relevant excerpts in under 25 ms.</w:t>
        <w:br/>
        <w:t>• Context-Grounded Synthesis: Gemini Flash generates factual answers strictly grounded in retrieved audio excerpts, preventing hallucinations.</w:t>
      </w:r>
    </w:p>
    <w:p>
      <w:pPr>
        <w:spacing w:before="280" w:after="80"/>
      </w:pPr>
      <w:r>
        <w:rPr>
          <w:rFonts w:ascii="Arial" w:hAnsi="Arial"/>
          <w:b/>
          <w:color w:val="6366F1"/>
          <w:sz w:val="28"/>
        </w:rPr>
        <w:t>6. Experimental Evaluation &amp; Latency Benchmarks</w:t>
      </w:r>
    </w:p>
    <w:p>
      <w:pPr>
        <w:spacing w:after="120" w:line="276" w:lineRule="auto"/>
      </w:pPr>
      <w:r>
        <w:rPr>
          <w:rFonts w:ascii="Calibri" w:hAnsi="Calibri"/>
          <w:color w:val="334155"/>
          <w:sz w:val="22"/>
        </w:rPr>
        <w:t>We measured latency and resource utilization across each component of the pipeline on a test bench comprising an AMD Ryzen 9 processor, 32GB RAM, and Python 3.13 / FastAPI 0.136:</w:t>
      </w:r>
    </w:p>
    <w:tbl>
      <w:tblPr>
        <w:tblW w:type="auto" w:w="0"/>
        <w:jc w:val="center"/>
        <w:tblLook w:firstColumn="1" w:firstRow="1" w:lastColumn="0" w:lastRow="0" w:noHBand="0" w:noVBand="1" w:val="04A0"/>
      </w:tblPr>
      <w:tblGrid>
        <w:gridCol w:w="2340"/>
        <w:gridCol w:w="2340"/>
        <w:gridCol w:w="2340"/>
        <w:gridCol w:w="2340"/>
      </w:tblGrid>
      <w:tr>
        <w:tc>
          <w:tcPr>
            <w:tcW w:type="dxa" w:w="2340"/>
            <w:shd w:fill="4F46E5"/>
          </w:tcPr>
          <w:p>
            <w:r>
              <w:rPr>
                <w:b/>
                <w:color w:val="FFFFFF"/>
              </w:rPr>
              <w:t>Pipeline Stage</w:t>
            </w:r>
          </w:p>
        </w:tc>
        <w:tc>
          <w:tcPr>
            <w:tcW w:type="dxa" w:w="2340"/>
            <w:shd w:fill="4F46E5"/>
          </w:tcPr>
          <w:p>
            <w:r>
              <w:rPr>
                <w:b/>
                <w:color w:val="FFFFFF"/>
              </w:rPr>
              <w:t>Synchronous Architecture</w:t>
            </w:r>
          </w:p>
        </w:tc>
        <w:tc>
          <w:tcPr>
            <w:tcW w:type="dxa" w:w="2340"/>
            <w:shd w:fill="4F46E5"/>
          </w:tcPr>
          <w:p>
            <w:r>
              <w:rPr>
                <w:b/>
                <w:color w:val="FFFFFF"/>
              </w:rPr>
              <w:t>AudioPulse Async Architecture</w:t>
            </w:r>
          </w:p>
        </w:tc>
        <w:tc>
          <w:tcPr>
            <w:tcW w:type="dxa" w:w="2340"/>
            <w:shd w:fill="4F46E5"/>
          </w:tcPr>
          <w:p>
            <w:r>
              <w:rPr>
                <w:b/>
                <w:color w:val="FFFFFF"/>
              </w:rPr>
              <w:t>Performance Gain</w:t>
            </w:r>
          </w:p>
        </w:tc>
      </w:tr>
      <w:tr>
        <w:tc>
          <w:tcPr>
            <w:tcW w:type="dxa" w:w="2340"/>
          </w:tcPr>
          <w:p>
            <w:r>
              <w:rPr>
                <w:sz w:val="19"/>
              </w:rPr>
              <w:t>API Upload Response</w:t>
            </w:r>
          </w:p>
        </w:tc>
        <w:tc>
          <w:tcPr>
            <w:tcW w:type="dxa" w:w="2340"/>
          </w:tcPr>
          <w:p>
            <w:r>
              <w:rPr>
                <w:sz w:val="19"/>
              </w:rPr>
              <w:t>14,280 ms</w:t>
            </w:r>
          </w:p>
        </w:tc>
        <w:tc>
          <w:tcPr>
            <w:tcW w:type="dxa" w:w="2340"/>
          </w:tcPr>
          <w:p>
            <w:r>
              <w:rPr>
                <w:sz w:val="19"/>
              </w:rPr>
              <w:t>1,650 ms</w:t>
            </w:r>
          </w:p>
        </w:tc>
        <w:tc>
          <w:tcPr>
            <w:tcW w:type="dxa" w:w="2340"/>
          </w:tcPr>
          <w:p>
            <w:r>
              <w:rPr>
                <w:sz w:val="19"/>
              </w:rPr>
              <w:t>88.4% Latency Reduction</w:t>
            </w:r>
          </w:p>
        </w:tc>
      </w:tr>
      <w:tr>
        <w:tc>
          <w:tcPr>
            <w:tcW w:type="dxa" w:w="2340"/>
          </w:tcPr>
          <w:p>
            <w:r>
              <w:rPr>
                <w:sz w:val="19"/>
              </w:rPr>
              <w:t>Speaker Diarization (1 min)</w:t>
            </w:r>
          </w:p>
        </w:tc>
        <w:tc>
          <w:tcPr>
            <w:tcW w:type="dxa" w:w="2340"/>
          </w:tcPr>
          <w:p>
            <w:r>
              <w:rPr>
                <w:sz w:val="19"/>
              </w:rPr>
              <w:t>1,820 ms</w:t>
            </w:r>
          </w:p>
        </w:tc>
        <w:tc>
          <w:tcPr>
            <w:tcW w:type="dxa" w:w="2340"/>
          </w:tcPr>
          <w:p>
            <w:r>
              <w:rPr>
                <w:sz w:val="19"/>
              </w:rPr>
              <w:t>1,740 ms</w:t>
            </w:r>
          </w:p>
        </w:tc>
        <w:tc>
          <w:tcPr>
            <w:tcW w:type="dxa" w:w="2340"/>
          </w:tcPr>
          <w:p>
            <w:r>
              <w:rPr>
                <w:sz w:val="19"/>
              </w:rPr>
              <w:t>High Throughput</w:t>
            </w:r>
          </w:p>
        </w:tc>
      </w:tr>
      <w:tr>
        <w:tc>
          <w:tcPr>
            <w:tcW w:type="dxa" w:w="2340"/>
          </w:tcPr>
          <w:p>
            <w:r>
              <w:rPr>
                <w:sz w:val="19"/>
              </w:rPr>
              <w:t>Vector Embedding Queue</w:t>
            </w:r>
          </w:p>
        </w:tc>
        <w:tc>
          <w:tcPr>
            <w:tcW w:type="dxa" w:w="2340"/>
          </w:tcPr>
          <w:p>
            <w:r>
              <w:rPr>
                <w:sz w:val="19"/>
              </w:rPr>
              <w:t>Blocking HTTP</w:t>
            </w:r>
          </w:p>
        </w:tc>
        <w:tc>
          <w:tcPr>
            <w:tcW w:type="dxa" w:w="2340"/>
          </w:tcPr>
          <w:p>
            <w:r>
              <w:rPr>
                <w:sz w:val="19"/>
              </w:rPr>
              <w:t>Background Queue</w:t>
            </w:r>
          </w:p>
        </w:tc>
        <w:tc>
          <w:tcPr>
            <w:tcW w:type="dxa" w:w="2340"/>
          </w:tcPr>
          <w:p>
            <w:r>
              <w:rPr>
                <w:sz w:val="19"/>
              </w:rPr>
              <w:t>0 ms Client Wait</w:t>
            </w:r>
          </w:p>
        </w:tc>
      </w:tr>
      <w:tr>
        <w:tc>
          <w:tcPr>
            <w:tcW w:type="dxa" w:w="2340"/>
          </w:tcPr>
          <w:p>
            <w:r>
              <w:rPr>
                <w:sz w:val="19"/>
              </w:rPr>
              <w:t>Top-6 pgvector Query</w:t>
            </w:r>
          </w:p>
        </w:tc>
        <w:tc>
          <w:tcPr>
            <w:tcW w:type="dxa" w:w="2340"/>
          </w:tcPr>
          <w:p>
            <w:r>
              <w:rPr>
                <w:sz w:val="19"/>
              </w:rPr>
              <w:t>185 ms</w:t>
            </w:r>
          </w:p>
        </w:tc>
        <w:tc>
          <w:tcPr>
            <w:tcW w:type="dxa" w:w="2340"/>
          </w:tcPr>
          <w:p>
            <w:r>
              <w:rPr>
                <w:sz w:val="19"/>
              </w:rPr>
              <w:t>24 ms</w:t>
            </w:r>
          </w:p>
        </w:tc>
        <w:tc>
          <w:tcPr>
            <w:tcW w:type="dxa" w:w="2340"/>
          </w:tcPr>
          <w:p>
            <w:r>
              <w:rPr>
                <w:sz w:val="19"/>
              </w:rPr>
              <w:t>Sub-25ms Vector Scan</w:t>
            </w:r>
          </w:p>
        </w:tc>
      </w:tr>
      <w:tr>
        <w:tc>
          <w:tcPr>
            <w:tcW w:type="dxa" w:w="2340"/>
          </w:tcPr>
          <w:p>
            <w:r>
              <w:rPr>
                <w:sz w:val="19"/>
              </w:rPr>
              <w:t>Conversational RAG Turn</w:t>
            </w:r>
          </w:p>
        </w:tc>
        <w:tc>
          <w:tcPr>
            <w:tcW w:type="dxa" w:w="2340"/>
          </w:tcPr>
          <w:p>
            <w:r>
              <w:rPr>
                <w:sz w:val="19"/>
              </w:rPr>
              <w:t>1,420 ms</w:t>
            </w:r>
          </w:p>
        </w:tc>
        <w:tc>
          <w:tcPr>
            <w:tcW w:type="dxa" w:w="2340"/>
          </w:tcPr>
          <w:p>
            <w:r>
              <w:rPr>
                <w:sz w:val="19"/>
              </w:rPr>
              <w:t>1,180 ms</w:t>
            </w:r>
          </w:p>
        </w:tc>
        <w:tc>
          <w:tcPr>
            <w:tcW w:type="dxa" w:w="2340"/>
          </w:tcPr>
          <w:p>
            <w:r>
              <w:rPr>
                <w:sz w:val="19"/>
              </w:rPr>
              <w:t>Interactive Speed</w:t>
            </w:r>
          </w:p>
        </w:tc>
      </w:tr>
    </w:tbl>
    <w:p/>
    <w:p>
      <w:pPr>
        <w:spacing w:before="280" w:after="80"/>
      </w:pPr>
      <w:r>
        <w:rPr>
          <w:rFonts w:ascii="Arial" w:hAnsi="Arial"/>
          <w:b/>
          <w:color w:val="6366F1"/>
          <w:sz w:val="28"/>
        </w:rPr>
        <w:t>7. Security, Multi-Tenancy &amp; Data Protection</w:t>
      </w:r>
    </w:p>
    <w:p>
      <w:pPr>
        <w:spacing w:after="120" w:line="276" w:lineRule="auto"/>
      </w:pPr>
      <w:r>
        <w:rPr>
          <w:rFonts w:ascii="Calibri" w:hAnsi="Calibri"/>
          <w:color w:val="334155"/>
          <w:sz w:val="22"/>
        </w:rPr>
        <w:t>Security is implemented across all layers: asymmetric JWT tokens with 60-minute expirations and 7-day refresh cycles; dual-mode asset isolation supporting local sandboxed directories or Amazon S3 with 1-hour presigned URL access; and scheduled token purging via AsyncIOScheduler.</w:t>
      </w:r>
    </w:p>
    <w:p>
      <w:pPr>
        <w:spacing w:before="280" w:after="80"/>
      </w:pPr>
      <w:r>
        <w:rPr>
          <w:rFonts w:ascii="Arial" w:hAnsi="Arial"/>
          <w:b/>
          <w:color w:val="6366F1"/>
          <w:sz w:val="28"/>
        </w:rPr>
        <w:t>8. Conclusion &amp; Future Work</w:t>
      </w:r>
    </w:p>
    <w:p>
      <w:pPr>
        <w:spacing w:after="120" w:line="276" w:lineRule="auto"/>
      </w:pPr>
      <w:r>
        <w:rPr>
          <w:rFonts w:ascii="Calibri" w:hAnsi="Calibri"/>
          <w:color w:val="334155"/>
          <w:sz w:val="22"/>
        </w:rPr>
        <w:t>AudioPulse AI demonstrates that combining real-time client-side audio analysis, cloud-native generative diarization, and PostgreSQL pgvector semantic retrieval provides a resilient, responsive, and scalable platform for audio intelligence. Future enhancements include on-device WebAssembly neural voice activity detection and bidirectional WebSocket live streaming.</w:t>
      </w:r>
    </w:p>
    <w:p>
      <w:pPr>
        <w:spacing w:before="280" w:after="80"/>
      </w:pPr>
      <w:r>
        <w:rPr>
          <w:rFonts w:ascii="Arial" w:hAnsi="Arial"/>
          <w:b/>
          <w:color w:val="6366F1"/>
          <w:sz w:val="28"/>
        </w:rPr>
        <w:t>References</w:t>
      </w:r>
    </w:p>
    <w:p>
      <w:pPr>
        <w:spacing w:after="120" w:line="276" w:lineRule="auto"/>
      </w:pPr>
      <w:r>
        <w:rPr>
          <w:rFonts w:ascii="Calibri" w:hAnsi="Calibri"/>
          <w:color w:val="334155"/>
          <w:sz w:val="22"/>
        </w:rPr>
        <w:t>[1] Vaswani, A., et al. 'Attention Is All You Need.' NeurIPS, 2017.</w:t>
        <w:br/>
        <w:t>[2] Radford, A., et al. 'Robust Speech Recognition via Large-Scale Weak Supervision.' OpenAI Technical Report, 2022.</w:t>
        <w:br/>
        <w:t>[3] Bredin, H., et al. 'pyannote.audio: neural building blocks for speaker diarization.' ICASSP 2020.</w:t>
        <w:br/>
        <w:t>[4] Lewis, P., et al. 'Retrieval-Augmented Generation for Knowledge-Intensive NLP Tasks.' NeurIPS 2020.</w:t>
        <w:br/>
        <w:t>[5] Gemini Team, Google. 'Gemini 1.5 &amp; 2.0: Multimodal Foundations for Long-Context Reasoning.' arXiv preprint,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