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 Mail Sync - How the App Password Is Stored</w:t>
      </w:r>
    </w:p>
    <w:p>
      <w:pPr>
        <w:jc w:val="left"/>
      </w:pPr>
      <w:r>
        <w:rPr>
          <w:i/>
        </w:rPr>
        <w:t>Design rationale for Windows and Android  |  2 August 2026  |  v0.2.1-beta</w:t>
      </w:r>
    </w:p>
    <w:p>
      <w:r>
        <w:rPr>
          <w:b w:val="0"/>
          <w:i w:val="0"/>
        </w:rPr>
      </w:r>
    </w:p>
    <w:p>
      <w:r>
        <w:rPr>
          <w:b w:val="0"/>
          <w:i w:val="0"/>
        </w:rPr>
        <w:t>This app holds exactly one live secret: the IMAP app password for the mailbox it archives into. Everything else it persists - hostnames, port numbers, the account's own email address, sync state - is configuration, not a credential. This document explains how that one secret is protected, why the two platforms do it differently, and what is deliberately still open.</w:t>
      </w:r>
    </w:p>
    <w:p>
      <w:pPr>
        <w:pStyle w:val="Heading1"/>
      </w:pPr>
      <w:r>
        <w:t>1. Summary</w:t>
      </w:r>
    </w:p>
    <w:p>
      <w:r>
        <w:rPr>
          <w:b w:val="0"/>
          <w:i w:val="0"/>
        </w:rPr>
        <w:t>The starting decision was to stop using Gmail OAuth as the primary path and authenticate with a provider-issued app password over IMAP instead. That choice was made on cost and independence grounds - OAuth restricted-scope verification carries a recurring third-party security audit - but it changed the security problem: OAuth hands you a revocable token that the Google library manages, whereas an app password is a bearer credential the app itself has to keep.</w:t>
      </w:r>
    </w:p>
    <w:p>
      <w:r>
        <w:rPr>
          <w:b w:val="0"/>
          <w:i w:val="0"/>
        </w:rPr>
        <w:t>Three properties make that acceptable:</w:t>
      </w:r>
    </w:p>
    <w:p>
      <w:pPr>
        <w:pStyle w:val="ListBullet"/>
      </w:pPr>
      <w:r>
        <w:t>An app password is not the account password. It is issued per-application by the mail provider and can be revoked there at any time without changing anything else about the account.</w:t>
      </w:r>
    </w:p>
    <w:p>
      <w:pPr>
        <w:pStyle w:val="ListBullet"/>
      </w:pPr>
      <w:r>
        <w:t>It grants mail access only, and this app only ever writes - it never reads, deletes, or sends.</w:t>
      </w:r>
    </w:p>
    <w:p>
      <w:pPr>
        <w:pStyle w:val="ListBullet"/>
      </w:pPr>
      <w:r>
        <w:t>It is the only secret stored, so there is exactly one thing to protect rather than a family of tokens with different lifetimes.</w:t>
      </w:r>
    </w:p>
    <w:p>
      <w:r>
        <w:rPr>
          <w:b w:val="0"/>
          <w:i w:val="0"/>
        </w:rPr>
      </w:r>
    </w:p>
    <w:p>
      <w:r>
        <w:rPr>
          <w:b/>
          <w:i w:val="0"/>
        </w:rPr>
        <w:t>The two platforms then diverge, because the operating systems offer different primitives: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Windows (desktop / portable)</w:t>
            </w:r>
          </w:p>
        </w:tc>
        <w:tc>
          <w:tcPr>
            <w:tcW w:type="dxa" w:w="2880"/>
          </w:tcPr>
          <w:p>
            <w:r>
              <w:t>Android</w:t>
            </w:r>
          </w:p>
        </w:tc>
      </w:tr>
      <w:tr>
        <w:tc>
          <w:tcPr>
            <w:tcW w:type="dxa" w:w="2880"/>
          </w:tcPr>
          <w:p>
            <w:r>
              <w:rPr>
                <w:b/>
              </w:rPr>
              <w:t>At rest</w:t>
            </w:r>
          </w:p>
        </w:tc>
        <w:tc>
          <w:tcPr>
            <w:tcW w:type="dxa" w:w="2880"/>
          </w:tcPr>
          <w:p>
            <w:r>
              <w:t>Plaintext JSON in auth\imap_credentials.json</w:t>
            </w:r>
          </w:p>
        </w:tc>
        <w:tc>
          <w:tcPr>
            <w:tcW w:type="dxa" w:w="2880"/>
          </w:tcPr>
          <w:p>
            <w:r>
              <w:t>AES-256-GCM ciphertext in SharedPreferences</w:t>
            </w:r>
          </w:p>
        </w:tc>
      </w:tr>
      <w:tr>
        <w:tc>
          <w:tcPr>
            <w:tcW w:type="dxa" w:w="2880"/>
          </w:tcPr>
          <w:p>
            <w:r>
              <w:rPr>
                <w:b/>
              </w:rPr>
              <w:t>What protects it</w:t>
            </w:r>
          </w:p>
        </w:tc>
        <w:tc>
          <w:tcPr>
            <w:tcW w:type="dxa" w:w="2880"/>
          </w:tcPr>
          <w:p>
            <w:r>
              <w:t>NTFS ACL: inheritance stripped, full control granted to the current user only</w:t>
            </w:r>
          </w:p>
        </w:tc>
        <w:tc>
          <w:tcPr>
            <w:tcW w:type="dxa" w:w="2880"/>
          </w:tcPr>
          <w:p>
            <w:r>
              <w:t>AndroidKeyStore key that never leaves secure hardware / TEE</w:t>
            </w:r>
          </w:p>
        </w:tc>
      </w:tr>
      <w:tr>
        <w:tc>
          <w:tcPr>
            <w:tcW w:type="dxa" w:w="2880"/>
          </w:tcPr>
          <w:p>
            <w:r>
              <w:rPr>
                <w:b/>
              </w:rPr>
              <w:t>Threat it stops</w:t>
            </w:r>
          </w:p>
        </w:tc>
        <w:tc>
          <w:tcPr>
            <w:tcW w:type="dxa" w:w="2880"/>
          </w:tcPr>
          <w:p>
            <w:r>
              <w:t>Any other local account on the machine reading the file</w:t>
            </w:r>
          </w:p>
        </w:tc>
        <w:tc>
          <w:tcPr>
            <w:tcW w:type="dxa" w:w="2880"/>
          </w:tcPr>
          <w:p>
            <w:r>
              <w:t>Offline extraction - a backup or a rooted filesystem read yields ciphertext only</w:t>
            </w:r>
          </w:p>
        </w:tc>
      </w:tr>
      <w:tr>
        <w:tc>
          <w:tcPr>
            <w:tcW w:type="dxa" w:w="2880"/>
          </w:tcPr>
          <w:p>
            <w:r>
              <w:rPr>
                <w:b/>
              </w:rPr>
              <w:t>If protection fails</w:t>
            </w:r>
          </w:p>
        </w:tc>
        <w:tc>
          <w:tcPr>
            <w:tcW w:type="dxa" w:w="2880"/>
          </w:tcPr>
          <w:p>
            <w:r>
              <w:t>The file is deleted and the save is refused, loudly</w:t>
            </w:r>
          </w:p>
        </w:tc>
        <w:tc>
          <w:tcPr>
            <w:tcW w:type="dxa" w:w="2880"/>
          </w:tcPr>
          <w:p>
            <w:r>
              <w:t>The unreadable blob is cleared and the app reports no password saved</w:t>
            </w:r>
          </w:p>
        </w:tc>
      </w:tr>
      <w:tr>
        <w:tc>
          <w:tcPr>
            <w:tcW w:type="dxa" w:w="2880"/>
          </w:tcPr>
          <w:p>
            <w:r>
              <w:rPr>
                <w:b/>
              </w:rPr>
              <w:t>Unattended access</w:t>
            </w:r>
          </w:p>
        </w:tc>
        <w:tc>
          <w:tcPr>
            <w:tcW w:type="dxa" w:w="2880"/>
          </w:tcPr>
          <w:p>
            <w:r>
              <w:t>Yes - the ACL grants the running user</w:t>
            </w:r>
          </w:p>
        </w:tc>
        <w:tc>
          <w:tcPr>
            <w:tcW w:type="dxa" w:w="2880"/>
          </w:tcPr>
          <w:p>
            <w:r>
              <w:t>Yes - the key is deliberately not biometric-gated</w:t>
            </w:r>
          </w:p>
        </w:tc>
      </w:tr>
    </w:tbl>
    <w:p>
      <w:r>
        <w:rPr>
          <w:b w:val="0"/>
          <w:i w:val="0"/>
        </w:rPr>
      </w:r>
    </w:p>
    <w:p>
      <w:r>
        <w:rPr>
          <w:b w:val="0"/>
          <w:i w:val="0"/>
        </w:rPr>
        <w:t>This asymmetry is intentional and is the one place the project knowingly departs from the Windows/Android feature-parity rule in PLATFORM-PARITY.md. The guarantee is meant to be equivalent - 'no other party on this device can read the password' - but the mechanism that delivers it cannot be, because Android has no per-file ACL and Windows has no equivalent of a TEE-backed key store available to an unsigned portable app.</w:t>
      </w:r>
    </w:p>
    <w:p>
      <w:r>
        <w:br w:type="page"/>
      </w:r>
    </w:p>
    <w:p>
      <w:pPr>
        <w:pStyle w:val="Heading1"/>
      </w:pPr>
      <w:r>
        <w:t>2. Windows, in detail</w:t>
      </w:r>
    </w:p>
    <w:p>
      <w:pPr>
        <w:pStyle w:val="Heading2"/>
      </w:pPr>
      <w:r>
        <w:t>2.1 Where it lives</w:t>
      </w:r>
    </w:p>
    <w:p>
      <w:r>
        <w:rPr>
          <w:b w:val="0"/>
          <w:i w:val="0"/>
        </w:rPr>
        <w:t>The password is written to a single JSON file inside the portable bundle's auth folder, alongside the OAuth artefacts it replaced:</w:t>
      </w:r>
    </w:p>
    <w:p>
      <w:r>
        <w:rPr>
          <w:rFonts w:ascii="Consolas" w:hAnsi="Consolas"/>
          <w:color w:val="333333"/>
          <w:sz w:val="18"/>
        </w:rPr>
        <w:t>Data\auth\imap_credentials.json</w:t>
      </w:r>
    </w:p>
    <w:p>
      <w:r>
        <w:rPr>
          <w:rFonts w:ascii="Consolas" w:hAnsi="Consolas"/>
          <w:color w:val="333333"/>
          <w:sz w:val="18"/>
        </w:rPr>
        <w:t>{"host": "...", "port": 993, "email": "...", "password": "..."}</w:t>
      </w:r>
    </w:p>
    <w:p>
      <w:r>
        <w:rPr>
          <w:b w:val="0"/>
          <w:i w:val="0"/>
        </w:rPr>
        <w:t>The contents are plaintext. That is a deliberate, bounded decision: the confidentiality guarantee comes from the filesystem ACL, not from encryption. The shared Python core writes the same file format on every OS, and per-OS hardening is layered on top of it rather than baked into the format - which is what lets Android substitute a completely different storage mechanism behind the same code path.</w:t>
      </w:r>
    </w:p>
    <w:p>
      <w:pPr>
        <w:pStyle w:val="Heading2"/>
      </w:pPr>
      <w:r>
        <w:t>2.2 The ACL</w:t>
      </w:r>
    </w:p>
    <w:p>
      <w:r>
        <w:rPr>
          <w:b w:val="0"/>
          <w:i w:val="0"/>
        </w:rPr>
        <w:t>The protection is a single icacls call that strips inherited permissions and re-grants access to exactly one identity:</w:t>
      </w:r>
    </w:p>
    <w:p>
      <w:r>
        <w:rPr>
          <w:rFonts w:ascii="Consolas" w:hAnsi="Consolas"/>
          <w:color w:val="333333"/>
          <w:sz w:val="18"/>
        </w:rPr>
        <w:t>icacls &lt;path&gt; /inheritance:r /grant:r &lt;user&gt;:F</w:t>
      </w:r>
    </w:p>
    <w:p>
      <w:r>
        <w:rPr>
          <w:b w:val="0"/>
          <w:i w:val="0"/>
        </w:rPr>
        <w:t>The /inheritance:r is the important half. Without it, the file keeps whatever the parent folder handed down - typically readable by other local accounts and by Administrators. Stripping inheritance and granting only the current user means another account logged into the same machine cannot open the file at all.</w:t>
      </w:r>
    </w:p>
    <w:p>
      <w:pPr>
        <w:pStyle w:val="Heading2"/>
      </w:pPr>
      <w:r>
        <w:t>2.3 Ordering: harden before writing</w:t>
      </w:r>
    </w:p>
    <w:p>
      <w:r>
        <w:rPr>
          <w:b w:val="0"/>
          <w:i w:val="0"/>
        </w:rPr>
        <w:t>The directory's ACL is applied before the credentials file is created, so the file inherits a restricted ACL from the instant it exists. An earlier ordering - write the file, then harden it - left a window, however brief, in which a world-readable file containing a live password sat on disk. That window is now closed by construction rather than by being fast.</w:t>
      </w:r>
    </w:p>
    <w:p>
      <w:pPr>
        <w:pStyle w:val="Heading2"/>
      </w:pPr>
      <w:r>
        <w:t>2.4 Writing the file</w:t>
      </w:r>
    </w:p>
    <w:p>
      <w:r>
        <w:rPr>
          <w:b w:val="0"/>
          <w:i w:val="0"/>
        </w:rPr>
        <w:t>The write itself uses a mode-carrying open rather than a plain text write:</w:t>
      </w:r>
    </w:p>
    <w:p>
      <w:r>
        <w:rPr>
          <w:rFonts w:ascii="Consolas" w:hAnsi="Consolas"/>
          <w:color w:val="333333"/>
          <w:sz w:val="18"/>
        </w:rPr>
        <w:t>fd = os.open(path, os.O_WRONLY | os.O_CREAT | os.O_TRUNC, 0o600)</w:t>
      </w:r>
    </w:p>
    <w:p>
      <w:pPr>
        <w:pStyle w:val="ListBullet"/>
      </w:pPr>
      <w:r>
        <w:t>0o600 applies at creation time on POSIX, so the permissions are never wrong even momentarily. On Windows the mode is inert and the ACL does the work, but the same code path serves both.</w:t>
      </w:r>
    </w:p>
    <w:p>
      <w:pPr>
        <w:pStyle w:val="ListBullet"/>
      </w:pPr>
      <w:r>
        <w:t>O_TRUNC matters more than it looks: without it, replacing a long password with a shorter one would leave the tail of the old password on disk after the new JSON ended.</w:t>
      </w:r>
    </w:p>
    <w:p>
      <w:pPr>
        <w:pStyle w:val="ListBullet"/>
      </w:pPr>
      <w:r>
        <w:t>If anything raises during the write, the partial file is unlinked. A half-written credentials file is never left behind.</w:t>
      </w:r>
    </w:p>
    <w:p>
      <w:pPr>
        <w:pStyle w:val="Heading2"/>
      </w:pPr>
      <w:r>
        <w:t>2.5 Fail loud, not quiet</w:t>
      </w:r>
    </w:p>
    <w:p>
      <w:r>
        <w:rPr>
          <w:b w:val="0"/>
          <w:i w:val="0"/>
        </w:rPr>
        <w:t>After the file is written, its own ACL is applied and - critically - the return value is checked. If the ACL could not be applied, the file is deleted and the save is refused with an explicit error:</w:t>
      </w:r>
    </w:p>
    <w:p>
      <w:r>
        <w:rPr>
          <w:rFonts w:ascii="Consolas" w:hAnsi="Consolas"/>
          <w:color w:val="333333"/>
          <w:sz w:val="18"/>
        </w:rPr>
        <w:t>"Refusing to store the app password: its file permissions could not be\n restricted to your user account, so it would be readable by other\n accounts on this machine. The password was NOT saved (it is still\n valid at your provider)."</w:t>
      </w:r>
    </w:p>
    <w:p>
      <w:r>
        <w:rPr>
          <w:b w:val="0"/>
          <w:i w:val="0"/>
        </w:rPr>
        <w:t>This is the single most important behaviour in the Windows design. The whole point of the auth folder is that a plaintext password is acceptable only because the ACL holds. If the ACL silently failed and the app carried on, the user would believe their password was stored safely when it was sitting in plaintext readable by every account on the machine. Refusing the save is the honest outcome - and the message says plainly that the password is still valid at the provider, so the user knows nothing was broken, only not saved.</w:t>
      </w:r>
    </w:p>
    <w:p>
      <w:r>
        <w:rPr>
          <w:b w:val="0"/>
          <w:i w:val="0"/>
        </w:rPr>
        <w:t>Note the deliberate inconsistency: the OAuth callers apply the same hardening but ignore its return value, because a failed ACL there should not block authentication. Only the caller that persists a plaintext password treats the failure as fatal.</w:t>
      </w:r>
    </w:p>
    <w:p>
      <w:pPr>
        <w:pStyle w:val="Heading2"/>
      </w:pPr>
      <w:r>
        <w:t>2.6 Identifying the user</w:t>
      </w:r>
    </w:p>
    <w:p>
      <w:r>
        <w:rPr>
          <w:b w:val="0"/>
          <w:i w:val="0"/>
        </w:rPr>
        <w:t>icacls needs a username to grant to, and resolving it is less reliable than it appears. The lookup falls back through three sources:</w:t>
      </w:r>
    </w:p>
    <w:p>
      <w:pPr>
        <w:pStyle w:val="ListBullet"/>
      </w:pPr>
      <w:r>
        <w:t>%USERNAME% - the normal source.</w:t>
      </w:r>
    </w:p>
    <w:p>
      <w:pPr>
        <w:pStyle w:val="ListBullet"/>
      </w:pPr>
      <w:r>
        <w:t>getpass.getuser() - consults the same environment variables first, so it is a weak fallback on its own.</w:t>
      </w:r>
    </w:p>
    <w:p>
      <w:pPr>
        <w:pStyle w:val="ListBullet"/>
      </w:pPr>
      <w:r>
        <w:t>whoami - reports the process token's identity from the OS rather than trusting the environment.</w:t>
      </w:r>
    </w:p>
    <w:p>
      <w:r>
        <w:rPr>
          <w:b w:val="0"/>
          <w:i w:val="0"/>
        </w:rPr>
        <w:t>The third step exists because the environment variable is simply absent in some service and scheduled-task contexts, and its absence used to make the entire ACL hardening a silent no-op. Returning no username now returns False, which under section 2.5 means the save is refused rather than performed unprotected.</w:t>
      </w:r>
    </w:p>
    <w:p>
      <w:pPr>
        <w:pStyle w:val="Heading2"/>
      </w:pPr>
      <w:r>
        <w:t>2.7 Where the password does not go</w:t>
      </w:r>
    </w:p>
    <w:p>
      <w:pPr>
        <w:pStyle w:val="ListBullet"/>
      </w:pPr>
      <w:r>
        <w:t>Not in .settings.json - that file holds the backend choice, host and port, never the password.</w:t>
      </w:r>
    </w:p>
    <w:p>
      <w:pPr>
        <w:pStyle w:val="ListBullet"/>
      </w:pPr>
      <w:r>
        <w:t>Not in any log line, at any level, in any form - not even partially masked.</w:t>
      </w:r>
    </w:p>
    <w:p>
      <w:pPr>
        <w:pStyle w:val="ListBullet"/>
      </w:pPr>
      <w:r>
        <w:t>Not echoed back into the UI after saving. The Settings password field is never repopulated with the stored value.</w:t>
      </w:r>
    </w:p>
    <w:p>
      <w:pPr>
        <w:pStyle w:val="ListBullet"/>
      </w:pPr>
      <w:r>
        <w:t>Not in the generated app-password help prompt. That prompt names the provider and host only; a test walks every rendered help label across all six providers asserting neither the email address nor the password appears.</w:t>
      </w:r>
    </w:p>
    <w:p>
      <w:r>
        <w:br w:type="page"/>
      </w:r>
    </w:p>
    <w:p>
      <w:pPr>
        <w:pStyle w:val="Heading1"/>
      </w:pPr>
      <w:r>
        <w:t>3. Android, in detail</w:t>
      </w:r>
    </w:p>
    <w:p>
      <w:pPr>
        <w:pStyle w:val="Heading2"/>
      </w:pPr>
      <w:r>
        <w:t>3.1 Why the Windows approach does not transfer</w:t>
      </w:r>
    </w:p>
    <w:p>
      <w:r>
        <w:rPr>
          <w:b w:val="0"/>
          <w:i w:val="0"/>
        </w:rPr>
        <w:t>Android has no per-file ACL primitive to borrow. Its equivalent is app-private storage, and app-private storage alone was judged insufficient for a live credential: a rooted device or a backup-extraction tool can read another application's private files. So Android encrypts instead of relying on isolation.</w:t>
      </w:r>
    </w:p>
    <w:p>
      <w:pPr>
        <w:pStyle w:val="Heading2"/>
      </w:pPr>
      <w:r>
        <w:t>3.2 The scheme</w:t>
      </w:r>
    </w:p>
    <w:p>
      <w:pPr>
        <w:pStyle w:val="ListBullet"/>
      </w:pPr>
      <w:r>
        <w:t>Cipher: AES/GCM/NoPadding with a 128-bit authentication tag.</w:t>
      </w:r>
    </w:p>
    <w:p>
      <w:pPr>
        <w:pStyle w:val="ListBullet"/>
      </w:pPr>
      <w:r>
        <w:t>Key: generated on first use inside AndroidKeyStore under the alias wagmail_imap_key, purposes ENCRYPT and DECRYPT.</w:t>
      </w:r>
    </w:p>
    <w:p>
      <w:pPr>
        <w:pStyle w:val="ListBullet"/>
      </w:pPr>
      <w:r>
        <w:t>The key material never leaves secure storage. The app can ask the Keystore to encrypt and decrypt, but cannot extract the key - which is the closest Android analogue of the Windows ACL guarantee.</w:t>
      </w:r>
    </w:p>
    <w:p>
      <w:pPr>
        <w:pStyle w:val="ListBullet"/>
      </w:pPr>
      <w:r>
        <w:t>Storage format: "&lt;base64 IV&gt;:&lt;base64 ciphertext&gt;" as a plain SharedPreferences string in wagmail_prefs.</w:t>
      </w:r>
    </w:p>
    <w:p>
      <w:r>
        <w:rPr>
          <w:b w:val="0"/>
          <w:i w:val="0"/>
        </w:rPr>
        <w:t>A fresh IV is generated for every encryption, which GCM requires - reusing an IV with the same key is a catastrophic failure mode for GCM specifically, not merely bad practice. The IV is not itself sensitive, but it must be stored beside the ciphertext because decryption needs it, hence the two-part format.</w:t>
      </w:r>
    </w:p>
    <w:p>
      <w:pPr>
        <w:pStyle w:val="Heading2"/>
      </w:pPr>
      <w:r>
        <w:t>3.3 No biometric gate, on purpose</w:t>
      </w:r>
    </w:p>
    <w:p>
      <w:r>
        <w:rPr>
          <w:rFonts w:ascii="Consolas" w:hAnsi="Consolas"/>
          <w:color w:val="333333"/>
          <w:sz w:val="18"/>
        </w:rPr>
        <w:t>setUserAuthenticationRequired(false)</w:t>
      </w:r>
    </w:p>
    <w:p>
      <w:r>
        <w:rPr>
          <w:b w:val="0"/>
          <w:i w:val="0"/>
        </w:rPr>
        <w:t>This is a considered trade-off rather than an oversight. Requiring user authentication would mean the key can only be used while the device is unlocked and the user is present. But the whole value of the watched-folder feature is that it runs headless: a periodic background worker wakes up, finds a new export, and syncs it with the app closed. A biometric prompt would block that run indefinitely.</w:t>
      </w:r>
    </w:p>
    <w:p>
      <w:r>
        <w:rPr>
          <w:b w:val="0"/>
          <w:i w:val="0"/>
        </w:rPr>
        <w:t>The justification for accepting it: this password gates access to one email account, not the device itself, and its blast radius is bounded by the app password being revocable at the provider and write-only in practice.</w:t>
      </w:r>
    </w:p>
    <w:p>
      <w:pPr>
        <w:pStyle w:val="Heading2"/>
      </w:pPr>
      <w:r>
        <w:t>3.4 Failing safe on an unreadable secret</w:t>
      </w:r>
    </w:p>
    <w:p>
      <w:r>
        <w:rPr>
          <w:b w:val="0"/>
          <w:i w:val="0"/>
        </w:rPr>
        <w:t>Decryption can legitimately fail. Two real cases:</w:t>
      </w:r>
    </w:p>
    <w:p>
      <w:pPr>
        <w:pStyle w:val="ListBullet"/>
      </w:pPr>
      <w:r>
        <w:t>The Keystore key was wiped - for example by a factory-reset-protection event.</w:t>
      </w:r>
    </w:p>
    <w:p>
      <w:pPr>
        <w:pStyle w:val="ListBullet"/>
      </w:pPr>
      <w:r>
        <w:t>App data was restored onto a different device, where the key material cannot travel.</w:t>
      </w:r>
    </w:p>
    <w:p>
      <w:r>
        <w:rPr>
          <w:b w:val="0"/>
          <w:i w:val="0"/>
        </w:rPr>
        <w:t>In both cases the stored blob is permanently undecryptable. Rather than retry against it forever, a decrypt failure clears the blob and returns null, so the app cleanly reports that no password is saved and asks for it again. A malformed blob - anything not matching the two-part format - is treated the same way.</w:t>
      </w:r>
    </w:p>
    <w:p>
      <w:pPr>
        <w:pStyle w:val="Heading2"/>
      </w:pPr>
      <w:r>
        <w:t>3.5 The WorkManager rule</w:t>
      </w:r>
    </w:p>
    <w:p>
      <w:r>
        <w:rPr>
          <w:b/>
          <w:i w:val="0"/>
        </w:rPr>
        <w:t>The password is never placed into a WorkManager input Data bundle.</w:t>
      </w:r>
    </w:p>
    <w:p>
      <w:r>
        <w:rPr>
          <w:b w:val="0"/>
          <w:i w:val="0"/>
        </w:rPr>
        <w:t>This deserves its own heading because it is the least obvious constraint in the whole design. WorkManager persists every job's input Data to an on-disk Room database that is not encrypted. Passing the password as worker input would have quietly written it in the clear, defeating the Keystore entirely - and it would have looked like perfectly ordinary Android code.</w:t>
      </w:r>
    </w:p>
    <w:p>
      <w:r>
        <w:rPr>
          <w:b w:val="0"/>
          <w:i w:val="0"/>
        </w:rPr>
        <w:t>Instead, the workers read the secret from SecretStore themselves at the moment they need it. The scheduling layer knows only whether a password exists - enough to decide between starting a sync and telling the user to go and save one - never what it is.</w:t>
      </w:r>
    </w:p>
    <w:p>
      <w:pPr>
        <w:pStyle w:val="Heading2"/>
      </w:pPr>
      <w:r>
        <w:t>3.6 The Python boundary</w:t>
      </w:r>
    </w:p>
    <w:p>
      <w:r>
        <w:rPr>
          <w:b w:val="0"/>
          <w:i w:val="0"/>
        </w:rPr>
        <w:t>The shared Python core is the same on both platforms, and on Windows it reads the password out of auth/imap_credentials.json. On Android that file is never written. The password stays on the Kotlin side, held in the Keystore, and is passed to build_imap_transport as an argument at call time only. Nothing durable on the Python side ever holds it.</w:t>
      </w:r>
    </w:p>
    <w:p>
      <w:pPr>
        <w:pStyle w:val="Heading2"/>
      </w:pPr>
      <w:r>
        <w:t>3.7 Re-saving without re-typing</w:t>
      </w:r>
    </w:p>
    <w:p>
      <w:r>
        <w:rPr>
          <w:b w:val="0"/>
          <w:i w:val="0"/>
        </w:rPr>
        <w:t>The password field is never pre-filled with the real stored value. That creates a usability problem - changing your provider or host would appear to require re-entering the password - so a blank field is interpreted as keep what is already saved. Host, port, email and provider can all be changed without the secret ever being displayed or retyped.</w:t>
      </w:r>
    </w:p>
    <w:p>
      <w:r>
        <w:rPr>
          <w:b w:val="0"/>
          <w:i w:val="0"/>
        </w:rPr>
        <w:t>The inverse operation, Forget saved password, clears the Keystore secret along with the saved host, port and email.</w:t>
      </w:r>
    </w:p>
    <w:p>
      <w:r>
        <w:br w:type="page"/>
      </w:r>
    </w:p>
    <w:p>
      <w:pPr>
        <w:pStyle w:val="Heading1"/>
      </w:pPr>
      <w:r>
        <w:t>4. What is deliberately still open</w:t>
      </w:r>
    </w:p>
    <w:p>
      <w:pPr>
        <w:pStyle w:val="Heading2"/>
      </w:pPr>
      <w:r>
        <w:t>4.1 Windows DPAPI (queued as P1)</w:t>
      </w:r>
    </w:p>
    <w:p>
      <w:r>
        <w:rPr>
          <w:b w:val="0"/>
          <w:i w:val="0"/>
        </w:rPr>
        <w:t>The ACL stops other local accounts. It does not stop:</w:t>
      </w:r>
    </w:p>
    <w:p>
      <w:pPr>
        <w:pStyle w:val="ListBullet"/>
      </w:pPr>
      <w:r>
        <w:t>Malware or any process running as you - it has your token, so the ACL grants it access by design.</w:t>
      </w:r>
    </w:p>
    <w:p>
      <w:pPr>
        <w:pStyle w:val="ListBullet"/>
      </w:pPr>
      <w:r>
        <w:t>Anyone who can read the disk offline, where NTFS permissions are not enforced at all.</w:t>
      </w:r>
    </w:p>
    <w:p>
      <w:r>
        <w:rPr>
          <w:b w:val="0"/>
          <w:i w:val="0"/>
        </w:rPr>
        <w:t>Binding the stored blob with DPAPI under CryptProtectData would close the second of those, because the ciphertext becomes useless without the Windows user account's own key material. It would not close the first - nothing available to an unsigned portable app does. This is the next credential-storage item on the list and has not been built yet.</w:t>
      </w:r>
    </w:p>
    <w:p>
      <w:pPr>
        <w:pStyle w:val="Heading2"/>
      </w:pPr>
      <w:r>
        <w:t>4.2 Android's residual exposure</w:t>
      </w:r>
    </w:p>
    <w:p>
      <w:r>
        <w:rPr>
          <w:b w:val="0"/>
          <w:i w:val="0"/>
        </w:rPr>
        <w:t>Because the key is not authentication-bound (section 3.3), an attacker with root who can execute in the app's own context can ask the Keystore to decrypt on their behalf. Encryption at rest defeats offline extraction, not a live compromise of the running device. Accepting this was the price of headless background sync.</w:t>
      </w:r>
    </w:p>
    <w:p>
      <w:pPr>
        <w:pStyle w:val="Heading2"/>
      </w:pPr>
      <w:r>
        <w:t>4.3 Standing rules that hold everywhere</w:t>
      </w:r>
    </w:p>
    <w:p>
      <w:pPr>
        <w:pStyle w:val="ListBullet"/>
      </w:pPr>
      <w:r>
        <w:t>The app password must never reach a log line or an exception message, not even partially masked.</w:t>
      </w:r>
    </w:p>
    <w:p>
      <w:pPr>
        <w:pStyle w:val="ListBullet"/>
      </w:pPr>
      <w:r>
        <w:t>The generated help prompt must never include the email address, the password, or any personal data - provider name and host only.</w:t>
      </w:r>
    </w:p>
    <w:p>
      <w:pPr>
        <w:pStyle w:val="ListBullet"/>
      </w:pPr>
      <w:r>
        <w:t>Test harnesses take credentials from environment variables only - never a file, a CLI argument, a prompt, or a default.</w:t>
      </w:r>
    </w:p>
    <w:p>
      <w:pPr>
        <w:pStyle w:val="ListBullet"/>
      </w:pPr>
      <w:r>
        <w:t>auth/ is gitignored. No credential has ever been committed.</w:t>
      </w:r>
    </w:p>
    <w:p>
      <w:pPr>
        <w:pStyle w:val="Heading1"/>
      </w:pPr>
      <w:r>
        <w:t>5. Where this lives in the code</w:t>
      </w:r>
    </w:p>
    <w:tbl>
      <w:tblPr>
        <w:tblStyle w:val="LightGrid-Accent1"/>
        <w:tblW w:type="auto" w:w="0"/>
        <w:tblLook w:firstColumn="1" w:firstRow="1" w:lastColumn="0" w:lastRow="0" w:noHBand="0" w:noVBand="1" w:val="04A0"/>
      </w:tblPr>
      <w:tblGrid>
        <w:gridCol w:w="4320"/>
        <w:gridCol w:w="4320"/>
      </w:tblGrid>
      <w:tr>
        <w:tc>
          <w:tcPr>
            <w:tcW w:type="dxa" w:w="4320"/>
          </w:tcPr>
          <w:p>
            <w:r>
              <w:t>Concern</w:t>
            </w:r>
          </w:p>
        </w:tc>
        <w:tc>
          <w:tcPr>
            <w:tcW w:type="dxa" w:w="4320"/>
          </w:tcPr>
          <w:p>
            <w:r>
              <w:t>Location</w:t>
            </w:r>
          </w:p>
        </w:tc>
      </w:tr>
      <w:tr>
        <w:tc>
          <w:tcPr>
            <w:tcW w:type="dxa" w:w="4320"/>
          </w:tcPr>
          <w:p>
            <w:r>
              <w:t>Windows: write + harden + fail loud</w:t>
            </w:r>
          </w:p>
        </w:tc>
        <w:tc>
          <w:tcPr>
            <w:tcW w:type="dxa" w:w="4320"/>
          </w:tcPr>
          <w:p>
            <w:r>
              <w:rPr>
                <w:rFonts w:ascii="Consolas" w:hAnsi="Consolas"/>
                <w:sz w:val="18"/>
              </w:rPr>
              <w:t>gui_worker.py  -&gt;  _save_imap_credentials</w:t>
            </w:r>
          </w:p>
        </w:tc>
      </w:tr>
      <w:tr>
        <w:tc>
          <w:tcPr>
            <w:tcW w:type="dxa" w:w="4320"/>
          </w:tcPr>
          <w:p>
            <w:r>
              <w:t>Windows: ACL primitives</w:t>
            </w:r>
          </w:p>
        </w:tc>
        <w:tc>
          <w:tcPr>
            <w:tcW w:type="dxa" w:w="4320"/>
          </w:tcPr>
          <w:p>
            <w:r>
              <w:rPr>
                <w:rFonts w:ascii="Consolas" w:hAnsi="Consolas"/>
                <w:sz w:val="18"/>
              </w:rPr>
              <w:t>src/mail_client.py  -&gt;  _restrict_acl, _restrict_file_acl, _restrict_auth_dir_acl</w:t>
            </w:r>
          </w:p>
        </w:tc>
      </w:tr>
      <w:tr>
        <w:tc>
          <w:tcPr>
            <w:tcW w:type="dxa" w:w="4320"/>
          </w:tcPr>
          <w:p>
            <w:r>
              <w:t>Windows: username resolution</w:t>
            </w:r>
          </w:p>
        </w:tc>
        <w:tc>
          <w:tcPr>
            <w:tcW w:type="dxa" w:w="4320"/>
          </w:tcPr>
          <w:p>
            <w:r>
              <w:rPr>
                <w:rFonts w:ascii="Consolas" w:hAnsi="Consolas"/>
                <w:sz w:val="18"/>
              </w:rPr>
              <w:t>src/mail_client.py  -&gt;  _current_username</w:t>
            </w:r>
          </w:p>
        </w:tc>
      </w:tr>
      <w:tr>
        <w:tc>
          <w:tcPr>
            <w:tcW w:type="dxa" w:w="4320"/>
          </w:tcPr>
          <w:p>
            <w:r>
              <w:t>Windows: file location</w:t>
            </w:r>
          </w:p>
        </w:tc>
        <w:tc>
          <w:tcPr>
            <w:tcW w:type="dxa" w:w="4320"/>
          </w:tcPr>
          <w:p>
            <w:r>
              <w:rPr>
                <w:rFonts w:ascii="Consolas" w:hAnsi="Consolas"/>
                <w:sz w:val="18"/>
              </w:rPr>
              <w:t>src/config.py  -&gt;  IMAP_CREDENTIALS_FILE</w:t>
            </w:r>
          </w:p>
        </w:tc>
      </w:tr>
      <w:tr>
        <w:tc>
          <w:tcPr>
            <w:tcW w:type="dxa" w:w="4320"/>
          </w:tcPr>
          <w:p>
            <w:r>
              <w:t>Windows: reading it back</w:t>
            </w:r>
          </w:p>
        </w:tc>
        <w:tc>
          <w:tcPr>
            <w:tcW w:type="dxa" w:w="4320"/>
          </w:tcPr>
          <w:p>
            <w:r>
              <w:rPr>
                <w:rFonts w:ascii="Consolas" w:hAnsi="Consolas"/>
                <w:sz w:val="18"/>
              </w:rPr>
              <w:t>gui_worker.py  -&gt;  build_transport_for_active_backend</w:t>
            </w:r>
          </w:p>
        </w:tc>
      </w:tr>
      <w:tr>
        <w:tc>
          <w:tcPr>
            <w:tcW w:type="dxa" w:w="4320"/>
          </w:tcPr>
          <w:p>
            <w:r>
              <w:t>Android: encryption</w:t>
            </w:r>
          </w:p>
        </w:tc>
        <w:tc>
          <w:tcPr>
            <w:tcW w:type="dxa" w:w="4320"/>
          </w:tcPr>
          <w:p>
            <w:r>
              <w:rPr>
                <w:rFonts w:ascii="Consolas" w:hAnsi="Consolas"/>
                <w:sz w:val="18"/>
              </w:rPr>
              <w:t>SecretStore.kt  -&gt;  putSecret, getSecret, clearSecret</w:t>
            </w:r>
          </w:p>
        </w:tc>
      </w:tr>
      <w:tr>
        <w:tc>
          <w:tcPr>
            <w:tcW w:type="dxa" w:w="4320"/>
          </w:tcPr>
          <w:p>
            <w:r>
              <w:t>Android: key policy</w:t>
            </w:r>
          </w:p>
        </w:tc>
        <w:tc>
          <w:tcPr>
            <w:tcW w:type="dxa" w:w="4320"/>
          </w:tcPr>
          <w:p>
            <w:r>
              <w:rPr>
                <w:rFonts w:ascii="Consolas" w:hAnsi="Consolas"/>
                <w:sz w:val="18"/>
              </w:rPr>
              <w:t>SecretStore.kt  -&gt;  getOrCreateKey</w:t>
            </w:r>
          </w:p>
        </w:tc>
      </w:tr>
      <w:tr>
        <w:tc>
          <w:tcPr>
            <w:tcW w:type="dxa" w:w="4320"/>
          </w:tcPr>
          <w:p>
            <w:r>
              <w:t>Android: key name, has/clear helpers</w:t>
            </w:r>
          </w:p>
        </w:tc>
        <w:tc>
          <w:tcPr>
            <w:tcW w:type="dxa" w:w="4320"/>
          </w:tcPr>
          <w:p>
            <w:r>
              <w:rPr>
                <w:rFonts w:ascii="Consolas" w:hAnsi="Consolas"/>
                <w:sz w:val="18"/>
              </w:rPr>
              <w:t>AppPrefs.kt  -&gt;  getImapPasswordSecretKey, hasImapPassword, clearImapSettings</w:t>
            </w:r>
          </w:p>
        </w:tc>
      </w:tr>
      <w:tr>
        <w:tc>
          <w:tcPr>
            <w:tcW w:type="dxa" w:w="4320"/>
          </w:tcPr>
          <w:p>
            <w:r>
              <w:t>Android: save and re-save flow</w:t>
            </w:r>
          </w:p>
        </w:tc>
        <w:tc>
          <w:tcPr>
            <w:tcW w:type="dxa" w:w="4320"/>
          </w:tcPr>
          <w:p>
            <w:r>
              <w:rPr>
                <w:rFonts w:ascii="Consolas" w:hAnsi="Consolas"/>
                <w:sz w:val="18"/>
              </w:rPr>
              <w:t>MainActivity.kt  -&gt;  the IMAP connect handler</w:t>
            </w:r>
          </w:p>
        </w:tc>
      </w:tr>
      <w:tr>
        <w:tc>
          <w:tcPr>
            <w:tcW w:type="dxa" w:w="4320"/>
          </w:tcPr>
          <w:p>
            <w:r>
              <w:t>Android: headless read at sync time</w:t>
            </w:r>
          </w:p>
        </w:tc>
        <w:tc>
          <w:tcPr>
            <w:tcW w:type="dxa" w:w="4320"/>
          </w:tcPr>
          <w:p>
            <w:r>
              <w:rPr>
                <w:rFonts w:ascii="Consolas" w:hAnsi="Consolas"/>
                <w:sz w:val="18"/>
              </w:rPr>
              <w:t>SyncWorker.kt, WatchFolderWorker.kt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