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2"/>
        </w:rPr>
        <w:t>AI ITR App</w:t>
      </w:r>
    </w:p>
    <w:p>
      <w:pPr>
        <w:jc w:val="center"/>
      </w:pPr>
      <w:r>
        <w:rPr>
          <w:b/>
          <w:sz w:val="48"/>
        </w:rPr>
        <w:t>Knowledge Base Expansion Roadmap</w:t>
      </w:r>
    </w:p>
    <w:p>
      <w:pPr>
        <w:jc w:val="center"/>
      </w:pPr>
      <w:r>
        <w:rPr>
          <w:i/>
          <w:color w:val="595959"/>
          <w:sz w:val="28"/>
        </w:rPr>
        <w:br/>
        <w:t>Everything you need to feed the AI engine — beyond the bare Act</w:t>
        <w:br/>
      </w:r>
    </w:p>
    <w:p>
      <w:r>
        <w:br w:type="page"/>
      </w:r>
    </w:p>
    <w:p>
      <w:pPr>
        <w:pStyle w:val="Heading1"/>
      </w:pPr>
      <w:r>
        <w:t>Why this list matters</w:t>
      </w:r>
    </w:p>
    <w:p>
      <w:r>
        <w:t>The Income-tax Act, 2025 is the spine. But the spine alone won't run an ITR app. An automated filing system needs the muscles around it: rules, forms, rates, formats, taxpayer data feeds, third-party document schemas, and a way to keep all of these refreshed every April when the new Finance Act lands.</w:t>
      </w:r>
    </w:p>
    <w:p>
      <w:r>
        <w:t>This document is your complete shopping list. It's organised in seven layers — from official statutory material down to the third-party services your app should integrate with. Each item is tagged MVP / Phase-2 / Phase-3 so you know what's blocking the first release vs what can wait.</w:t>
      </w:r>
    </w:p>
    <w:p>
      <w:r>
        <w:rPr>
          <w:i/>
        </w:rPr>
        <w:t>MVP = needed for the first usable version. Phase-2 = needed before paid launch. Phase-3 = nice to have / scale features.</w:t>
      </w:r>
    </w:p>
    <w:p>
      <w:pPr>
        <w:pStyle w:val="Heading1"/>
      </w:pPr>
      <w:r>
        <w:t>Layer 1 — Official statutory and quasi-statutory materials</w:t>
      </w:r>
    </w:p>
    <w:p>
      <w:pPr>
        <w:pStyle w:val="Heading2"/>
      </w:pPr>
      <w:r>
        <w:t>1.1 Income-tax Rules, 2026 (or whatever they're called)</w:t>
      </w:r>
    </w:p>
    <w:p>
      <w:r>
        <w:t>The Act references "as may be prescribed" hundreds of times. All of those prescriptions live in the Rules. The Rules under the 1961 Act are heavily intertwined with the Sections — about 200 rules. The 2026 Rules will replace them. Your app cannot compute many things without the Rules — for example: perquisite valuation tables (Rule 3 equivalent), valuation of unquoted shares (Rule 11UA equivalent), valuation of immovable property (Rule 11UAA), books of account (Rule 6F), TDS deposit timeline, and exact form numbers.</w:t>
      </w:r>
    </w:p>
    <w:p>
      <w:pPr>
        <w:pStyle w:val="ListBullet"/>
      </w:pPr>
      <w:r>
        <w:t>Status: New Rules expected to be notified by CBDT after 1 April 2026. [MVP]</w:t>
      </w:r>
    </w:p>
    <w:p>
      <w:pPr>
        <w:pStyle w:val="ListBullet"/>
      </w:pPr>
      <w:r>
        <w:t>Where to get: incometaxindia.gov.in → Rules section. Also via CBDT notifications in Official Gazette.</w:t>
      </w:r>
    </w:p>
    <w:p>
      <w:pPr>
        <w:pStyle w:val="ListBullet"/>
      </w:pPr>
      <w:r>
        <w:t>How to use: Map every "as may be prescribed" reference in the Act to the corresponding rule.</w:t>
      </w:r>
    </w:p>
    <w:p>
      <w:pPr>
        <w:pStyle w:val="Heading2"/>
      </w:pPr>
      <w:r>
        <w:t>1.2 Finance Act 2026 — First Schedule (rates, surcharge, cess)</w:t>
      </w:r>
    </w:p>
    <w:p>
      <w:r>
        <w:t>The Act says "at the rate(s) enacted by the Central Act" — that Central Act is the Finance Act. First Schedule contains the actual numerical rates: surcharge slabs (10% / 15% / 25% / 37%), Health &amp; Education Cess (currently 4%), TCS rates table, and rate for special incomes. Without this, your app can compute slab tax but not final tax.</w:t>
      </w:r>
    </w:p>
    <w:p>
      <w:pPr>
        <w:pStyle w:val="ListBullet"/>
      </w:pPr>
      <w:r>
        <w:t>Status: Already enacted (Finance Act 2026 already amended this Act). [MVP]</w:t>
      </w:r>
    </w:p>
    <w:p>
      <w:pPr>
        <w:pStyle w:val="ListBullet"/>
      </w:pPr>
      <w:r>
        <w:t>Where to get: indiacode.nic.in → Finance Act 2026 → First Schedule</w:t>
      </w:r>
    </w:p>
    <w:p>
      <w:pPr>
        <w:pStyle w:val="ListBullet"/>
      </w:pPr>
      <w:r>
        <w:t>Critical fields: surcharge thresholds, cess rate, TCS Schedule, capital gains special rates</w:t>
      </w:r>
    </w:p>
    <w:p>
      <w:pPr>
        <w:pStyle w:val="Heading2"/>
      </w:pPr>
      <w:r>
        <w:t>1.3 CBDT Notifications</w:t>
      </w:r>
    </w:p>
    <w:p>
      <w:r>
        <w:t>These are the running updates the Department issues — anywhere from 5 to 50 per month. They notify forms, deadlines, exemption schemes, special funds, valuation methods, prescribed authorities, and amend Rules. Most relevant: Notifications under Section 295 (rule-making power), Section 263 (forms), Section 9 (SEP thresholds), Section 11 (notified funds), Section 133 (notified institutions for 80G).</w:t>
      </w:r>
    </w:p>
    <w:p>
      <w:pPr>
        <w:pStyle w:val="ListBullet"/>
      </w:pPr>
      <w:r>
        <w:t>Status: Continuous stream. [MVP for active monitoring]</w:t>
      </w:r>
    </w:p>
    <w:p>
      <w:pPr>
        <w:pStyle w:val="ListBullet"/>
      </w:pPr>
      <w:r>
        <w:t>Where to get: incometaxindia.gov.in → Notifications. Also email lists like Taxmann / TaxGuru aggregate them.</w:t>
      </w:r>
    </w:p>
    <w:p>
      <w:pPr>
        <w:pStyle w:val="ListBullet"/>
      </w:pPr>
      <w:r>
        <w:t>Cadence: Subscribe to RSS or use a paid feed; build into your ETL pipeline.</w:t>
      </w:r>
    </w:p>
    <w:p>
      <w:pPr>
        <w:pStyle w:val="Heading2"/>
      </w:pPr>
      <w:r>
        <w:t>1.4 CBDT Circulars</w:t>
      </w:r>
    </w:p>
    <w:p>
      <w:r>
        <w:t>Circulars are clarifications on how the Act should be interpreted. They are binding on tax officers but not on assessees. Critical ones: TDS rates circular (annual), Cost Inflation Index circular, faceless assessment circulars, perquisite valuation circulars, rebate computation circulars.</w:t>
      </w:r>
    </w:p>
    <w:p>
      <w:pPr>
        <w:pStyle w:val="ListBullet"/>
      </w:pPr>
      <w:r>
        <w:t>Status: Existing 1961-Act circulars continue under Sec 536 savings clause unless inconsistent. [MVP]</w:t>
      </w:r>
    </w:p>
    <w:p>
      <w:pPr>
        <w:pStyle w:val="ListBullet"/>
      </w:pPr>
      <w:r>
        <w:t>Where to get: incometaxindia.gov.in → Circulars; also Taxmann database</w:t>
      </w:r>
    </w:p>
    <w:p>
      <w:pPr>
        <w:pStyle w:val="Heading2"/>
      </w:pPr>
      <w:r>
        <w:t>1.5 ICDS — Income Computation and Disclosure Standards (Sec 276(2))</w:t>
      </w:r>
    </w:p>
    <w:p>
      <w:r>
        <w:t>Ten standards on inventory, construction contracts, revenue recognition, fixed assets, forex, government grants, securities, borrowing costs, provisions/contingent liabilities, and effects of changes in foreign exchange rates.</w:t>
      </w:r>
    </w:p>
    <w:p>
      <w:pPr>
        <w:pStyle w:val="ListBullet"/>
      </w:pPr>
      <w:r>
        <w:t>Status: Existing 10 ICDS expected to continue; may be re-notified. [MVP for ITR-3/4]</w:t>
      </w:r>
    </w:p>
    <w:p>
      <w:pPr>
        <w:pStyle w:val="ListBullet"/>
      </w:pPr>
      <w:r>
        <w:t>Where to get: CBDT Notification No. 87/2016 (until re-notified)</w:t>
      </w:r>
    </w:p>
    <w:p>
      <w:pPr>
        <w:pStyle w:val="Heading1"/>
      </w:pPr>
      <w:r>
        <w:t>Layer 2 — Forms, Schemas, and Data Formats</w:t>
      </w:r>
    </w:p>
    <w:p>
      <w:pPr>
        <w:pStyle w:val="Heading2"/>
      </w:pPr>
      <w:r>
        <w:t>2.1 ITR Forms (1 to 7) — Schemas, Instructions, JSON Templates</w:t>
      </w:r>
    </w:p>
    <w:p>
      <w:r>
        <w:t>This is the most operationally critical missing piece. The Income Tax Department releases:</w:t>
      </w:r>
    </w:p>
    <w:p>
      <w:pPr>
        <w:pStyle w:val="ListBullet"/>
      </w:pPr>
      <w:r>
        <w:t>ITR-1 (Sahaj) — for resident salaried with TI ≤ ₹50 lakh</w:t>
      </w:r>
    </w:p>
    <w:p>
      <w:pPr>
        <w:pStyle w:val="ListBullet"/>
      </w:pPr>
      <w:r>
        <w:t>ITR-2 — individual/HUF with capital gains, foreign assets, multiple HPs</w:t>
      </w:r>
    </w:p>
    <w:p>
      <w:pPr>
        <w:pStyle w:val="ListBullet"/>
      </w:pPr>
      <w:r>
        <w:t>ITR-3 — individual/HUF with PGBP</w:t>
      </w:r>
    </w:p>
    <w:p>
      <w:pPr>
        <w:pStyle w:val="ListBullet"/>
      </w:pPr>
      <w:r>
        <w:t>ITR-4 (Sugam) — presumptive (Sec 58/59 = old 44AD/ADA/AE)</w:t>
      </w:r>
    </w:p>
    <w:p>
      <w:pPr>
        <w:pStyle w:val="ListBullet"/>
      </w:pPr>
      <w:r>
        <w:t>ITR-5 — partnership / AOP / BOI / LLP</w:t>
      </w:r>
    </w:p>
    <w:p>
      <w:pPr>
        <w:pStyle w:val="ListBullet"/>
      </w:pPr>
      <w:r>
        <w:t>ITR-6 — companies (not claiming Sec 11 exemption)</w:t>
      </w:r>
    </w:p>
    <w:p>
      <w:pPr>
        <w:pStyle w:val="ListBullet"/>
      </w:pPr>
      <w:r>
        <w:t>ITR-7 — charitable trusts, political parties, RNPOs</w:t>
      </w:r>
    </w:p>
    <w:p>
      <w:r>
        <w:t>For each form you need: (a) the official PDF instructions (60-100 pages each), (b) the JSON schema (.xsd or .json) the Department accepts on the e-filing utility, (c) the validation rules document (which fields are mandatory, conditional, calculated), (d) the offline utility's source if available, (e) any change-history between AY versions.</w:t>
      </w:r>
    </w:p>
    <w:p>
      <w:pPr>
        <w:pStyle w:val="ListBullet"/>
      </w:pPr>
      <w:r>
        <w:t>Status: Released annually by CBDT, usually April-June for the relevant AY. [MVP — your app's output target]</w:t>
      </w:r>
    </w:p>
    <w:p>
      <w:pPr>
        <w:pStyle w:val="ListBullet"/>
      </w:pPr>
      <w:r>
        <w:t>Where to get: incometax.gov.in → Downloads → Income Tax Returns → JSON schema files</w:t>
      </w:r>
    </w:p>
    <w:p>
      <w:pPr>
        <w:pStyle w:val="ListBullet"/>
      </w:pPr>
      <w:r>
        <w:t>Critical: Schema changes every April. Build a versioned schema loader.</w:t>
      </w:r>
    </w:p>
    <w:p>
      <w:pPr>
        <w:pStyle w:val="Heading2"/>
      </w:pPr>
      <w:r>
        <w:t>2.2 Form 26AS schema</w:t>
      </w:r>
    </w:p>
    <w:p>
      <w:r>
        <w:t>Form 26AS is the consolidated tax statement showing TDS/TCS/advance tax/refunds for a PAN. It's downloadable as PDF or text from TRACES (tdscpc.gov.in). Your app should be able to parse it programmatically.</w:t>
      </w:r>
    </w:p>
    <w:p>
      <w:pPr>
        <w:pStyle w:val="ListBullet"/>
      </w:pPr>
      <w:r>
        <w:t>Status: PDF available; programmatic API requires NSDL/TRACES integration. [MVP]</w:t>
      </w:r>
    </w:p>
    <w:p>
      <w:pPr>
        <w:pStyle w:val="ListBullet"/>
      </w:pPr>
      <w:r>
        <w:t>Format: Currently Form 26AS — 7 parts (TDS, TCS, advance tax, refund, AIR, etc.)</w:t>
      </w:r>
    </w:p>
    <w:p>
      <w:pPr>
        <w:pStyle w:val="ListBullet"/>
      </w:pPr>
      <w:r>
        <w:t>Source: traces.gov.in (taxpayer login)</w:t>
      </w:r>
    </w:p>
    <w:p>
      <w:pPr>
        <w:pStyle w:val="Heading2"/>
      </w:pPr>
      <w:r>
        <w:t>2.3 AIS (Annual Information Statement) schema — Section 510</w:t>
      </w:r>
    </w:p>
    <w:p>
      <w:r>
        <w:t>AIS is the new comprehensive statement with 50+ types of financial transactions: salary, dividends, interest, capital gains, foreign remittances, mutual funds, business receipts, property purchases. Released as PDF + JSON. The richest data source for your AI to extract from.</w:t>
      </w:r>
    </w:p>
    <w:p>
      <w:pPr>
        <w:pStyle w:val="ListBullet"/>
      </w:pPr>
      <w:r>
        <w:t>Status: Available on the e-filing portal under Compliance Portal. [MVP]</w:t>
      </w:r>
    </w:p>
    <w:p>
      <w:pPr>
        <w:pStyle w:val="ListBullet"/>
      </w:pPr>
      <w:r>
        <w:t>Format: JSON schema published by CBDT. AIS JSON has structured 'Information Categories' + 'Information Sources'.</w:t>
      </w:r>
    </w:p>
    <w:p>
      <w:pPr>
        <w:pStyle w:val="ListBullet"/>
      </w:pPr>
      <w:r>
        <w:t>Caution: AIS often has duplications and errors — your app must reconcile and let the user mark items.</w:t>
      </w:r>
    </w:p>
    <w:p>
      <w:pPr>
        <w:pStyle w:val="Heading2"/>
      </w:pPr>
      <w:r>
        <w:t>2.4 Form 16 / 16A / 16B / 16C — TDS Certificates</w:t>
      </w:r>
    </w:p>
    <w:p>
      <w:r>
        <w:t>Form 16 = annual TDS certificate from employer for salary (Part A from TRACES + Part B detailed computation). Form 16A = TDS certificate for non-salary payments. Form 16B = TDS on property sale. Form 16C = TDS on rent.</w:t>
      </w:r>
    </w:p>
    <w:p>
      <w:pPr>
        <w:pStyle w:val="ListBullet"/>
      </w:pPr>
      <w:r>
        <w:t>Status: Issued in standardised PDF format. [MVP]</w:t>
      </w:r>
    </w:p>
    <w:p>
      <w:pPr>
        <w:pStyle w:val="ListBullet"/>
      </w:pPr>
      <w:r>
        <w:t>Format: Standardised CBDT formats; Part A is system-generated; Part B is employer-prepared</w:t>
      </w:r>
    </w:p>
    <w:p>
      <w:pPr>
        <w:pStyle w:val="ListBullet"/>
      </w:pPr>
      <w:r>
        <w:t>Parse approach: Vision-LLM (Claude / GPT-4 vision) handles these well. Custom OCR less reliable.</w:t>
      </w:r>
    </w:p>
    <w:p>
      <w:pPr>
        <w:pStyle w:val="Heading2"/>
      </w:pPr>
      <w:r>
        <w:t>2.5 Challan formats — ITNS 280, 281, 282, 283, 284, 285, 286, 287</w:t>
      </w:r>
    </w:p>
    <w:p>
      <w:r>
        <w:t>ITNS 280 = self-assessment / advance / regular tax. ITNS 281 = TDS/TCS payment. Each generates a CIN (Challan Identification Number) which the app must capture and reconcile against the return.</w:t>
      </w:r>
    </w:p>
    <w:p>
      <w:pPr>
        <w:pStyle w:val="ListBullet"/>
      </w:pPr>
      <w:r>
        <w:t>Status: Stable formats. [MVP for tax payment integration]</w:t>
      </w:r>
    </w:p>
    <w:p>
      <w:pPr>
        <w:pStyle w:val="Heading2"/>
      </w:pPr>
      <w:r>
        <w:t>2.6 Broker / Investment platform statements</w:t>
      </w:r>
    </w:p>
    <w:p>
      <w:r>
        <w:t>For capital gains computation, you need to parse:</w:t>
      </w:r>
    </w:p>
    <w:p>
      <w:pPr>
        <w:pStyle w:val="ListBullet"/>
      </w:pPr>
      <w:r>
        <w:t>Zerodha Tax P&amp;L (CSV / PDF)</w:t>
      </w:r>
    </w:p>
    <w:p>
      <w:pPr>
        <w:pStyle w:val="ListBullet"/>
      </w:pPr>
      <w:r>
        <w:t>Groww capital gains report</w:t>
      </w:r>
    </w:p>
    <w:p>
      <w:pPr>
        <w:pStyle w:val="ListBullet"/>
      </w:pPr>
      <w:r>
        <w:t>Upstox tax report</w:t>
      </w:r>
    </w:p>
    <w:p>
      <w:pPr>
        <w:pStyle w:val="ListBullet"/>
      </w:pPr>
      <w:r>
        <w:t>ICICI Direct, HDFC Securities, Kotak — each with a different format</w:t>
      </w:r>
    </w:p>
    <w:p>
      <w:pPr>
        <w:pStyle w:val="ListBullet"/>
      </w:pPr>
      <w:r>
        <w:t>AMFI Statement of Account (CAS) — consolidated mutual fund holdings</w:t>
      </w:r>
    </w:p>
    <w:p>
      <w:pPr>
        <w:pStyle w:val="ListBullet"/>
      </w:pPr>
      <w:r>
        <w:t>CDSL / NSDL CAS — consolidated demat holdings</w:t>
      </w:r>
    </w:p>
    <w:p>
      <w:pPr>
        <w:pStyle w:val="ListBullet"/>
      </w:pPr>
      <w:r>
        <w:t>CAMS / KFintech RTAs — mutual fund redemption statements</w:t>
      </w:r>
    </w:p>
    <w:p>
      <w:r>
        <w:t>Each format is different. Build adapters for the top 6 and a generic fallback.</w:t>
      </w:r>
    </w:p>
    <w:p>
      <w:pPr>
        <w:pStyle w:val="ListBullet"/>
      </w:pPr>
      <w:r>
        <w:t>Status: Vendor-specific. [MVP for top 3, Phase-2 for rest]</w:t>
      </w:r>
    </w:p>
    <w:p>
      <w:pPr>
        <w:pStyle w:val="Heading2"/>
      </w:pPr>
      <w:r>
        <w:t>2.7 Bank statement formats</w:t>
      </w:r>
    </w:p>
    <w:p>
      <w:r>
        <w:t>Bank statements drive: interest income classification (Sec 92), large cash deposits (Sec 102 risk), transactions for AIS reconciliation, EMI tracking for Sec 22 housing loan interest.</w:t>
      </w:r>
    </w:p>
    <w:p>
      <w:pPr>
        <w:pStyle w:val="ListBullet"/>
      </w:pPr>
      <w:r>
        <w:t>Top 10 banks: SBI, HDFC, ICICI, Axis, Kotak, PNB, BoB, IDFC First, Yes, IndusInd</w:t>
      </w:r>
    </w:p>
    <w:p>
      <w:pPr>
        <w:pStyle w:val="ListBullet"/>
      </w:pPr>
      <w:r>
        <w:t>Each has different PDF layouts. Vision-LLM extraction recommended.</w:t>
      </w:r>
    </w:p>
    <w:p>
      <w:pPr>
        <w:pStyle w:val="ListBullet"/>
      </w:pPr>
      <w:r>
        <w:t>Status: [MVP for top 5, Phase-2 for rest]</w:t>
      </w:r>
    </w:p>
    <w:p>
      <w:pPr>
        <w:pStyle w:val="Heading1"/>
      </w:pPr>
      <w:r>
        <w:t>Layer 3 — DTAA Network</w:t>
      </w:r>
    </w:p>
    <w:p>
      <w:pPr>
        <w:pStyle w:val="Heading2"/>
      </w:pPr>
      <w:r>
        <w:t>3.1 DTAAs with countries</w:t>
      </w:r>
    </w:p>
    <w:p>
      <w:r>
        <w:t>India has DTAAs with 100+ countries. Each treaty has different provisions for: residence tie-breaker, PE definition, royalty/FTS rates, capital gains, immovable property income. For NR/RNOR users your app must apply DTAA.</w:t>
      </w:r>
    </w:p>
    <w:p>
      <w:pPr>
        <w:pStyle w:val="ListBullet"/>
      </w:pPr>
      <w:r>
        <w:t>Status: All DTAAs published on incometaxindia.gov.in [Phase-2 — only required for foreign-income users]</w:t>
      </w:r>
    </w:p>
    <w:p>
      <w:pPr>
        <w:pStyle w:val="ListBullet"/>
      </w:pPr>
      <w:r>
        <w:t>Top DTAAs by traffic: USA, UK, UAE, Singapore, Mauritius, Canada, Australia, Germany, Netherlands</w:t>
      </w:r>
    </w:p>
    <w:p>
      <w:pPr>
        <w:pStyle w:val="Heading2"/>
      </w:pPr>
      <w:r>
        <w:t>3.2 MLI (Multilateral Instrument) modifications</w:t>
      </w:r>
    </w:p>
    <w:p>
      <w:r>
        <w:t>India is a signatory to OECD MLI. It overrides specific articles of bilateral DTAAs — particularly LOB clauses, PE definitions, dividend conditions.</w:t>
      </w:r>
    </w:p>
    <w:p>
      <w:pPr>
        <w:pStyle w:val="ListBullet"/>
      </w:pPr>
      <w:r>
        <w:t>Status: India's MLI position published on OECD website [Phase-2]</w:t>
      </w:r>
    </w:p>
    <w:p>
      <w:pPr>
        <w:pStyle w:val="Heading2"/>
      </w:pPr>
      <w:r>
        <w:t>3.3 Tax Residency Certificate (TRC) requirements</w:t>
      </w:r>
    </w:p>
    <w:p>
      <w:r>
        <w:t>For DTAA benefit, NR must furnish TRC + Form 10F. Your app needs to ask for and validate these.</w:t>
      </w:r>
    </w:p>
    <w:p>
      <w:pPr>
        <w:pStyle w:val="ListBullet"/>
      </w:pPr>
      <w:r>
        <w:t>Format: Country-specific TRC + Form 10F (CBDT prescribed)</w:t>
      </w:r>
    </w:p>
    <w:p>
      <w:pPr>
        <w:pStyle w:val="Heading1"/>
      </w:pPr>
      <w:r>
        <w:t>Layer 4 — External Reference Data Feeds</w:t>
      </w:r>
    </w:p>
    <w:p>
      <w:pPr>
        <w:pStyle w:val="Heading2"/>
      </w:pPr>
      <w:r>
        <w:t>4.1 Cost Inflation Index (CII) table</w:t>
      </w:r>
    </w:p>
    <w:p>
      <w:r>
        <w:t>Required for indexed cost of acquisition under Sec 72(8). Table of CII values from FY 2001-02 to current FY. Notified annually by CBDT around June. As of May 2025: CII for 2024-25 = 363, 2023-24 = 348, 2022-23 = 331, 2001-02 = 100.</w:t>
      </w:r>
    </w:p>
    <w:p>
      <w:pPr>
        <w:pStyle w:val="ListBullet"/>
      </w:pPr>
      <w:r>
        <w:t>Status: Notified annually; load into JSON. [MVP for Capital Gains]</w:t>
      </w:r>
    </w:p>
    <w:p>
      <w:pPr>
        <w:pStyle w:val="Heading2"/>
      </w:pPr>
      <w:r>
        <w:t>4.2 Stamp Duty Value (Circle Rate / Ready Reckoner Rate)</w:t>
      </w:r>
    </w:p>
    <w:p>
      <w:r>
        <w:t>Required for Sec 78 (capital gains on land/building) and Sec 92(2)(m) (gifts of immovable property). State-wise; varies down to specific PIN codes / wards.</w:t>
      </w:r>
    </w:p>
    <w:p>
      <w:pPr>
        <w:pStyle w:val="ListBullet"/>
      </w:pPr>
      <w:r>
        <w:t>Status: State / municipality websites; not always machine-readable. [Phase-2]</w:t>
      </w:r>
    </w:p>
    <w:p>
      <w:pPr>
        <w:pStyle w:val="ListBullet"/>
      </w:pPr>
      <w:r>
        <w:t>Strategy: For MVP, ask user to enter SDV manually; later, integrate with state APIs where available</w:t>
      </w:r>
    </w:p>
    <w:p>
      <w:pPr>
        <w:pStyle w:val="Heading2"/>
      </w:pPr>
      <w:r>
        <w:t>4.3 Bullion rates</w:t>
      </w:r>
    </w:p>
    <w:p>
      <w:r>
        <w:t>For valuation of gold/silver gifts (Sec 92(2)(m)) at FMV. Source: IBJA daily rates.</w:t>
      </w:r>
    </w:p>
    <w:p>
      <w:pPr>
        <w:pStyle w:val="ListBullet"/>
      </w:pPr>
      <w:r>
        <w:t>Status: Daily feed available from IBJA / banks [Phase-2]</w:t>
      </w:r>
    </w:p>
    <w:p>
      <w:pPr>
        <w:pStyle w:val="Heading2"/>
      </w:pPr>
      <w:r>
        <w:t>4.4 RBI reference exchange rates</w:t>
      </w:r>
    </w:p>
    <w:p>
      <w:r>
        <w:t>For Sec 72(6) NR forex computation, FX gain/loss under Sec 43, foreign salary conversion under Sec 392(8).</w:t>
      </w:r>
    </w:p>
    <w:p>
      <w:pPr>
        <w:pStyle w:val="ListBullet"/>
      </w:pPr>
      <w:r>
        <w:t>Status: RBI publishes daily reference rates on rbi.org.in [MVP for NR users]</w:t>
      </w:r>
    </w:p>
    <w:p>
      <w:pPr>
        <w:pStyle w:val="Heading2"/>
      </w:pPr>
      <w:r>
        <w:t>4.5 Equity / mutual fund / bond price data — 31 January 2018</w:t>
      </w:r>
    </w:p>
    <w:p>
      <w:r>
        <w:t>Critical for Sec 90(7) grandfathering of equity LTCG: need to know the highest price on 31 January 2018 for every listed equity share and equity-oriented MF unit. NSE/BSE published this data.</w:t>
      </w:r>
    </w:p>
    <w:p>
      <w:pPr>
        <w:pStyle w:val="ListBullet"/>
      </w:pPr>
      <w:r>
        <w:t>Status: Published by NSE/BSE. Available on bseindia.com / nseindia.com archives. [MVP]</w:t>
      </w:r>
    </w:p>
    <w:p>
      <w:pPr>
        <w:pStyle w:val="Heading2"/>
      </w:pPr>
      <w:r>
        <w:t>4.6 Listed company database (PAN, CIN, status)</w:t>
      </w:r>
    </w:p>
    <w:p>
      <w:r>
        <w:t>Required for unquoted share valuation under Sec 79 and dividend / inter-corporate deduction under Sec 148.</w:t>
      </w:r>
    </w:p>
    <w:p>
      <w:pPr>
        <w:pStyle w:val="ListBullet"/>
      </w:pPr>
      <w:r>
        <w:t>Source: MCA database (mca.gov.in), Stock exchange listings [Phase-2]</w:t>
      </w:r>
    </w:p>
    <w:p>
      <w:pPr>
        <w:pStyle w:val="Heading2"/>
      </w:pPr>
      <w:r>
        <w:t>4.7 Charitable institutions database (Sec 80G approved)</w:t>
      </w:r>
    </w:p>
    <w:p>
      <w:r>
        <w:t>When user claims donation deduction under Sec 133, app must validate: is the institution approved? Is it 100% or 50%? Does it have qualifying-limit treatment? CBDT publishes the master list of Sec 80G approved institutions.</w:t>
      </w:r>
    </w:p>
    <w:p>
      <w:pPr>
        <w:pStyle w:val="ListBullet"/>
      </w:pPr>
      <w:r>
        <w:t>Status: Published on incometaxindia.gov.in; downloadable list. [MVP]</w:t>
      </w:r>
    </w:p>
    <w:p>
      <w:pPr>
        <w:pStyle w:val="Heading1"/>
      </w:pPr>
      <w:r>
        <w:t>Layer 5 — Case Law and Interpretive Material</w:t>
      </w:r>
    </w:p>
    <w:p>
      <w:pPr>
        <w:pStyle w:val="Heading2"/>
      </w:pPr>
      <w:r>
        <w:t>5.1 Landmark case law database (separate document)</w:t>
      </w:r>
    </w:p>
    <w:p>
      <w:r>
        <w:t>I am building a separate Landmark Case Law Compendium document — 100+ cases organized by section/topic. The case law continues to apply where the 2025 Act provisions are substantially the same as 1961 Act.</w:t>
      </w:r>
    </w:p>
    <w:p>
      <w:pPr>
        <w:pStyle w:val="ListBullet"/>
      </w:pPr>
      <w:r>
        <w:t>Status: Curated compendium being prepared [MVP for top 30 cases, Phase-2 for full 100+]</w:t>
      </w:r>
    </w:p>
    <w:p>
      <w:pPr>
        <w:pStyle w:val="Heading2"/>
      </w:pPr>
      <w:r>
        <w:t>5.2 Full case law database access</w:t>
      </w:r>
    </w:p>
    <w:p>
      <w:r>
        <w:t>For comprehensive coverage, your app eventually needs API access to a case-law database:</w:t>
      </w:r>
    </w:p>
    <w:p>
      <w:pPr>
        <w:pStyle w:val="ListBullet"/>
      </w:pPr>
      <w:r>
        <w:t>Indian Kanoon (free, scrape-friendly, indiankanoon.org)</w:t>
      </w:r>
    </w:p>
    <w:p>
      <w:pPr>
        <w:pStyle w:val="ListBullet"/>
      </w:pPr>
      <w:r>
        <w:t>Manupatra (paid, comprehensive, manupatra.com)</w:t>
      </w:r>
    </w:p>
    <w:p>
      <w:pPr>
        <w:pStyle w:val="ListBullet"/>
      </w:pPr>
      <w:r>
        <w:t>SCC Online (paid, very comprehensive)</w:t>
      </w:r>
    </w:p>
    <w:p>
      <w:pPr>
        <w:pStyle w:val="ListBullet"/>
      </w:pPr>
      <w:r>
        <w:t>Taxmann (paid, tax-focused)</w:t>
      </w:r>
    </w:p>
    <w:p>
      <w:pPr>
        <w:pStyle w:val="ListBullet"/>
      </w:pPr>
      <w:r>
        <w:t>Citation: NIC / e-Courts (free, but limited)</w:t>
      </w:r>
    </w:p>
    <w:p>
      <w:r>
        <w:t>Strategy: Manually curate top 200 cases for AI to cite directly; let users click out to Indian Kanoon for the full text.</w:t>
      </w:r>
    </w:p>
    <w:p>
      <w:pPr>
        <w:pStyle w:val="ListBullet"/>
      </w:pPr>
      <w:r>
        <w:t>Status: [Phase-3 for full database integration]</w:t>
      </w:r>
    </w:p>
    <w:p>
      <w:pPr>
        <w:pStyle w:val="Heading2"/>
      </w:pPr>
      <w:r>
        <w:t>5.3 ITAT decisions database</w:t>
      </w:r>
    </w:p>
    <w:p>
      <w:r>
        <w:t>ITAT publishes its orders on itat.gov.in. They're searchable by AY, bench, party. These are extremely useful for fact-pattern matching but don't need to be in MVP.</w:t>
      </w:r>
    </w:p>
    <w:p>
      <w:pPr>
        <w:pStyle w:val="ListBullet"/>
      </w:pPr>
      <w:r>
        <w:t>Status: [Phase-3]</w:t>
      </w:r>
    </w:p>
    <w:p>
      <w:pPr>
        <w:pStyle w:val="Heading2"/>
      </w:pPr>
      <w:r>
        <w:t>5.4 Authority for Advance Rulings (AAR)</w:t>
      </w:r>
    </w:p>
    <w:p>
      <w:r>
        <w:t>Useful for international tax / cross-border issues. New BAR (Sec 381) under 2025 Act.</w:t>
      </w:r>
    </w:p>
    <w:p>
      <w:pPr>
        <w:pStyle w:val="ListBullet"/>
      </w:pPr>
      <w:r>
        <w:t>Status: [Phase-3]</w:t>
      </w:r>
    </w:p>
    <w:p>
      <w:pPr>
        <w:pStyle w:val="Heading1"/>
      </w:pPr>
      <w:r>
        <w:t>Layer 6 — Industry / Professional Materials</w:t>
      </w:r>
    </w:p>
    <w:p>
      <w:pPr>
        <w:pStyle w:val="Heading2"/>
      </w:pPr>
      <w:r>
        <w:t>6.1 ICAI publications</w:t>
      </w:r>
    </w:p>
    <w:p>
      <w:pPr>
        <w:pStyle w:val="ListBullet"/>
      </w:pPr>
      <w:r>
        <w:t>Guidance Notes on tax audit, transfer pricing, accounting standards</w:t>
      </w:r>
    </w:p>
    <w:p>
      <w:pPr>
        <w:pStyle w:val="ListBullet"/>
      </w:pPr>
      <w:r>
        <w:t>Background Material on Direct Taxes (annual)</w:t>
      </w:r>
    </w:p>
    <w:p>
      <w:pPr>
        <w:pStyle w:val="ListBullet"/>
      </w:pPr>
      <w:r>
        <w:t>ICAI Direct Tax Committee opinions</w:t>
      </w:r>
    </w:p>
    <w:p>
      <w:pPr>
        <w:pStyle w:val="Heading2"/>
      </w:pPr>
      <w:r>
        <w:t>6.2 Bar Council of India / Tax Bar Association materials</w:t>
      </w:r>
    </w:p>
    <w:p>
      <w:pPr>
        <w:pStyle w:val="ListBullet"/>
      </w:pPr>
      <w:r>
        <w:t>Bombay Chartered Accountants Society (BCAS) — monthly newsletter</w:t>
      </w:r>
    </w:p>
    <w:p>
      <w:pPr>
        <w:pStyle w:val="ListBullet"/>
      </w:pPr>
      <w:r>
        <w:t>Karnataka State Chartered Accountants Association (KSCAA)</w:t>
      </w:r>
    </w:p>
    <w:p>
      <w:pPr>
        <w:pStyle w:val="Heading2"/>
      </w:pPr>
      <w:r>
        <w:t>6.3 Commercial publishers' commentaries</w:t>
      </w:r>
    </w:p>
    <w:p>
      <w:pPr>
        <w:pStyle w:val="ListBullet"/>
      </w:pPr>
      <w:r>
        <w:t>Sampath Iyengar's Law of Income Tax (Bharat Law House) — multi-volume; the gold standard</w:t>
      </w:r>
    </w:p>
    <w:p>
      <w:pPr>
        <w:pStyle w:val="ListBullet"/>
      </w:pPr>
      <w:r>
        <w:t>Chaturvedi &amp; Pithisaria (Bharat Law House)</w:t>
      </w:r>
    </w:p>
    <w:p>
      <w:pPr>
        <w:pStyle w:val="ListBullet"/>
      </w:pPr>
      <w:r>
        <w:t>Vinod Singhania's Direct Taxes Ready Reckoner — annual; highly practical</w:t>
      </w:r>
    </w:p>
    <w:p>
      <w:pPr>
        <w:pStyle w:val="ListBullet"/>
      </w:pPr>
      <w:r>
        <w:t>Taxmann's Master Guide to Income Tax Act — annual</w:t>
      </w:r>
    </w:p>
    <w:p>
      <w:r>
        <w:t>Use case: When the AI faces an ambiguous question, these commentaries explain the practical interpretation. Most are not freely available — you'd need licenses or partnerships.</w:t>
      </w:r>
    </w:p>
    <w:p>
      <w:pPr>
        <w:pStyle w:val="Heading1"/>
      </w:pPr>
      <w:r>
        <w:t>Layer 7 — User-side data and integrations</w:t>
      </w:r>
    </w:p>
    <w:p>
      <w:pPr>
        <w:pStyle w:val="Heading2"/>
      </w:pPr>
      <w:r>
        <w:t>7.1 PAN / Aadhaar verification APIs</w:t>
      </w:r>
    </w:p>
    <w:p>
      <w:r>
        <w:t>For onboarding: validate PAN format, check PAN-Aadhaar linkage, verify name match. NSDL / UIDAI / Protean offer these as paid APIs (priced per call ₹1-5).</w:t>
      </w:r>
    </w:p>
    <w:p>
      <w:pPr>
        <w:pStyle w:val="ListBullet"/>
      </w:pPr>
      <w:r>
        <w:t>Status: [MVP — onboarding gate]</w:t>
      </w:r>
    </w:p>
    <w:p>
      <w:pPr>
        <w:pStyle w:val="Heading2"/>
      </w:pPr>
      <w:r>
        <w:t>7.2 GSTIN database</w:t>
      </w:r>
    </w:p>
    <w:p>
      <w:r>
        <w:t>For PGBP users with GST registration. Verify GSTIN, fetch return-filing status. Source: GSTN public APIs.</w:t>
      </w:r>
    </w:p>
    <w:p>
      <w:pPr>
        <w:pStyle w:val="ListBullet"/>
      </w:pPr>
      <w:r>
        <w:t>Status: [MVP for ITR-3/4 users]</w:t>
      </w:r>
    </w:p>
    <w:p>
      <w:pPr>
        <w:pStyle w:val="Heading2"/>
      </w:pPr>
      <w:r>
        <w:t>7.3 EPFO portal</w:t>
      </w:r>
    </w:p>
    <w:p>
      <w:r>
        <w:t>For salaried users — pull PF passbook, contribution history, withdrawal records.</w:t>
      </w:r>
    </w:p>
    <w:p>
      <w:pPr>
        <w:pStyle w:val="ListBullet"/>
      </w:pPr>
      <w:r>
        <w:t>Status: User-authenticated scrape required; consent flow needed [Phase-2]</w:t>
      </w:r>
    </w:p>
    <w:p>
      <w:pPr>
        <w:pStyle w:val="Heading2"/>
      </w:pPr>
      <w:r>
        <w:t>7.4 NPS portal (CRA — Karvy / NSDL)</w:t>
      </w:r>
    </w:p>
    <w:p>
      <w:r>
        <w:t>For users with NPS accounts — pull contribution statement, Tier-I/II split, employer share.</w:t>
      </w:r>
    </w:p>
    <w:p>
      <w:pPr>
        <w:pStyle w:val="ListBullet"/>
      </w:pPr>
      <w:r>
        <w:t>Status: User-authenticated [Phase-2]</w:t>
      </w:r>
    </w:p>
    <w:p>
      <w:pPr>
        <w:pStyle w:val="Heading2"/>
      </w:pPr>
      <w:r>
        <w:t>7.5 Income Tax Department e-filing portal API</w:t>
      </w:r>
    </w:p>
    <w:p>
      <w:r>
        <w:t>ERIs (e-Return Intermediaries) get programmatic access to: file returns, fetch 26AS, fetch AIS, fetch demand notices, e-verify returns. Becoming an ERI requires application + minimum criteria.</w:t>
      </w:r>
    </w:p>
    <w:p>
      <w:pPr>
        <w:pStyle w:val="ListBullet"/>
      </w:pPr>
      <w:r>
        <w:t>Status: [Phase-2 — required for in-app filing without user navigating to incometax.gov.in]</w:t>
      </w:r>
    </w:p>
    <w:p>
      <w:pPr>
        <w:pStyle w:val="ListBullet"/>
      </w:pPr>
      <w:r>
        <w:t>ERI categories: Type 1 (digital intermediary) / Type 2 (TIN-FC) / Type 3 (institutional)</w:t>
      </w:r>
    </w:p>
    <w:p>
      <w:pPr>
        <w:pStyle w:val="ListBullet"/>
      </w:pPr>
      <w:r>
        <w:t>Application: protean-tinpan.com → ERI registration</w:t>
      </w:r>
    </w:p>
    <w:p>
      <w:pPr>
        <w:pStyle w:val="Heading2"/>
      </w:pPr>
      <w:r>
        <w:t>7.6 DigiLocker integration</w:t>
      </w:r>
    </w:p>
    <w:p>
      <w:r>
        <w:t>Aadhaar e-KYC, PAN fetch, education marksheets, driving licence — issued via DigiLocker. Useful for proof-of-document collection during onboarding.</w:t>
      </w:r>
    </w:p>
    <w:p>
      <w:pPr>
        <w:pStyle w:val="ListBullet"/>
      </w:pPr>
      <w:r>
        <w:t>Status: [Phase-2 — affidavit / proof flow]</w:t>
      </w:r>
    </w:p>
    <w:p>
      <w:pPr>
        <w:pStyle w:val="Heading2"/>
      </w:pPr>
      <w:r>
        <w:t>7.7 Account Aggregator framework (RBI)</w:t>
      </w:r>
    </w:p>
    <w:p>
      <w:r>
        <w:t>Most powerful for autopopulation: AA framework lets the user consent to share bank statement, MF holdings, EPF data with your app via RBI-licensed AA. Your app becomes an FIU (Financial Information User).</w:t>
      </w:r>
    </w:p>
    <w:p>
      <w:pPr>
        <w:pStyle w:val="ListBullet"/>
      </w:pPr>
      <w:r>
        <w:t>Status: [Phase-2 — game-changing for autopopulation]</w:t>
      </w:r>
    </w:p>
    <w:p>
      <w:pPr>
        <w:pStyle w:val="ListBullet"/>
      </w:pPr>
      <w:r>
        <w:t>Licensing: RBI license required to be FIU; or partner with existing FIU</w:t>
      </w:r>
    </w:p>
    <w:p>
      <w:pPr>
        <w:pStyle w:val="ListBullet"/>
      </w:pPr>
      <w:r>
        <w:t>FIU partners: Setu, Saafe, FinBox, OneMoney</w:t>
      </w:r>
    </w:p>
    <w:p>
      <w:pPr>
        <w:pStyle w:val="Heading1"/>
      </w:pPr>
      <w:r>
        <w:t>Annual refresh cycle (every April)</w:t>
      </w:r>
    </w:p>
    <w:p>
      <w:r>
        <w:t>Tax law in India is annual. Every April you need to refresh:</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What</w:t>
            </w:r>
          </w:p>
        </w:tc>
        <w:tc>
          <w:tcPr>
            <w:tcW w:type="dxa" w:w="2493"/>
          </w:tcPr>
          <w:p>
            <w:r>
              <w:rPr>
                <w:b/>
              </w:rPr>
              <w:t>Source</w:t>
            </w:r>
          </w:p>
        </w:tc>
        <w:tc>
          <w:tcPr>
            <w:tcW w:type="dxa" w:w="2493"/>
          </w:tcPr>
          <w:p>
            <w:r>
              <w:rPr>
                <w:b/>
              </w:rPr>
              <w:t>Usually arrives</w:t>
            </w:r>
          </w:p>
        </w:tc>
        <w:tc>
          <w:tcPr>
            <w:tcW w:type="dxa" w:w="2493"/>
          </w:tcPr>
          <w:p>
            <w:r>
              <w:rPr>
                <w:b/>
              </w:rPr>
              <w:t>Impact on app</w:t>
            </w:r>
          </w:p>
        </w:tc>
      </w:tr>
      <w:tr>
        <w:tc>
          <w:tcPr>
            <w:tcW w:type="dxa" w:w="2493"/>
          </w:tcPr>
          <w:p>
            <w:r>
              <w:t>Finance Act of the year</w:t>
            </w:r>
          </w:p>
        </w:tc>
        <w:tc>
          <w:tcPr>
            <w:tcW w:type="dxa" w:w="2493"/>
          </w:tcPr>
          <w:p>
            <w:r>
              <w:t>indiacode.nic.in</w:t>
            </w:r>
          </w:p>
        </w:tc>
        <w:tc>
          <w:tcPr>
            <w:tcW w:type="dxa" w:w="2493"/>
          </w:tcPr>
          <w:p>
            <w:r>
              <w:t>Late March / Early April</w:t>
            </w:r>
          </w:p>
        </w:tc>
        <w:tc>
          <w:tcPr>
            <w:tcW w:type="dxa" w:w="2493"/>
          </w:tcPr>
          <w:p>
            <w:r>
              <w:t>New rates, surcharge changes</w:t>
            </w:r>
          </w:p>
        </w:tc>
      </w:tr>
      <w:tr>
        <w:tc>
          <w:tcPr>
            <w:tcW w:type="dxa" w:w="2493"/>
          </w:tcPr>
          <w:p>
            <w:r>
              <w:t>Cost Inflation Index notification</w:t>
            </w:r>
          </w:p>
        </w:tc>
        <w:tc>
          <w:tcPr>
            <w:tcW w:type="dxa" w:w="2493"/>
          </w:tcPr>
          <w:p>
            <w:r>
              <w:t>CBDT notification</w:t>
            </w:r>
          </w:p>
        </w:tc>
        <w:tc>
          <w:tcPr>
            <w:tcW w:type="dxa" w:w="2493"/>
          </w:tcPr>
          <w:p>
            <w:r>
              <w:t>May / June</w:t>
            </w:r>
          </w:p>
        </w:tc>
        <w:tc>
          <w:tcPr>
            <w:tcW w:type="dxa" w:w="2493"/>
          </w:tcPr>
          <w:p>
            <w:r>
              <w:t>Indexation calculations</w:t>
            </w:r>
          </w:p>
        </w:tc>
      </w:tr>
      <w:tr>
        <w:tc>
          <w:tcPr>
            <w:tcW w:type="dxa" w:w="2493"/>
          </w:tcPr>
          <w:p>
            <w:r>
              <w:t>ITR forms for new AY</w:t>
            </w:r>
          </w:p>
        </w:tc>
        <w:tc>
          <w:tcPr>
            <w:tcW w:type="dxa" w:w="2493"/>
          </w:tcPr>
          <w:p>
            <w:r>
              <w:t>incometax.gov.in</w:t>
            </w:r>
          </w:p>
        </w:tc>
        <w:tc>
          <w:tcPr>
            <w:tcW w:type="dxa" w:w="2493"/>
          </w:tcPr>
          <w:p>
            <w:r>
              <w:t>April / May</w:t>
            </w:r>
          </w:p>
        </w:tc>
        <w:tc>
          <w:tcPr>
            <w:tcW w:type="dxa" w:w="2493"/>
          </w:tcPr>
          <w:p>
            <w:r>
              <w:t>Schema updates required</w:t>
            </w:r>
          </w:p>
        </w:tc>
      </w:tr>
      <w:tr>
        <w:tc>
          <w:tcPr>
            <w:tcW w:type="dxa" w:w="2493"/>
          </w:tcPr>
          <w:p>
            <w:r>
              <w:t>TDS rate notifications</w:t>
            </w:r>
          </w:p>
        </w:tc>
        <w:tc>
          <w:tcPr>
            <w:tcW w:type="dxa" w:w="2493"/>
          </w:tcPr>
          <w:p>
            <w:r>
              <w:t>CBDT</w:t>
            </w:r>
          </w:p>
        </w:tc>
        <w:tc>
          <w:tcPr>
            <w:tcW w:type="dxa" w:w="2493"/>
          </w:tcPr>
          <w:p>
            <w:r>
              <w:t>Throughout year</w:t>
            </w:r>
          </w:p>
        </w:tc>
        <w:tc>
          <w:tcPr>
            <w:tcW w:type="dxa" w:w="2493"/>
          </w:tcPr>
          <w:p>
            <w:r>
              <w:t>393 table updates</w:t>
            </w:r>
          </w:p>
        </w:tc>
      </w:tr>
      <w:tr>
        <w:tc>
          <w:tcPr>
            <w:tcW w:type="dxa" w:w="2493"/>
          </w:tcPr>
          <w:p>
            <w:r>
              <w:t>Sec 80G approved institutions list</w:t>
            </w:r>
          </w:p>
        </w:tc>
        <w:tc>
          <w:tcPr>
            <w:tcW w:type="dxa" w:w="2493"/>
          </w:tcPr>
          <w:p>
            <w:r>
              <w:t>CBDT</w:t>
            </w:r>
          </w:p>
        </w:tc>
        <w:tc>
          <w:tcPr>
            <w:tcW w:type="dxa" w:w="2493"/>
          </w:tcPr>
          <w:p>
            <w:r>
              <w:t>Quarterly updates</w:t>
            </w:r>
          </w:p>
        </w:tc>
        <w:tc>
          <w:tcPr>
            <w:tcW w:type="dxa" w:w="2493"/>
          </w:tcPr>
          <w:p>
            <w:r>
              <w:t>Donation validation</w:t>
            </w:r>
          </w:p>
        </w:tc>
      </w:tr>
      <w:tr>
        <w:tc>
          <w:tcPr>
            <w:tcW w:type="dxa" w:w="2493"/>
          </w:tcPr>
          <w:p>
            <w:r>
              <w:t>Bullion / gold notified rate</w:t>
            </w:r>
          </w:p>
        </w:tc>
        <w:tc>
          <w:tcPr>
            <w:tcW w:type="dxa" w:w="2493"/>
          </w:tcPr>
          <w:p>
            <w:r>
              <w:t>CBDT</w:t>
            </w:r>
          </w:p>
        </w:tc>
        <w:tc>
          <w:tcPr>
            <w:tcW w:type="dxa" w:w="2493"/>
          </w:tcPr>
          <w:p>
            <w:r>
              <w:t>March</w:t>
            </w:r>
          </w:p>
        </w:tc>
        <w:tc>
          <w:tcPr>
            <w:tcW w:type="dxa" w:w="2493"/>
          </w:tcPr>
          <w:p>
            <w:r>
              <w:t>VDA / gold gift valuations</w:t>
            </w:r>
          </w:p>
        </w:tc>
      </w:tr>
      <w:tr>
        <w:tc>
          <w:tcPr>
            <w:tcW w:type="dxa" w:w="2493"/>
          </w:tcPr>
          <w:p>
            <w:r>
              <w:t>Schedule III / Sec 19 disallowed allowances notification</w:t>
            </w:r>
          </w:p>
        </w:tc>
        <w:tc>
          <w:tcPr>
            <w:tcW w:type="dxa" w:w="2493"/>
          </w:tcPr>
          <w:p>
            <w:r>
              <w:t>CBDT</w:t>
            </w:r>
          </w:p>
        </w:tc>
        <w:tc>
          <w:tcPr>
            <w:tcW w:type="dxa" w:w="2493"/>
          </w:tcPr>
          <w:p>
            <w:r>
              <w:t>April</w:t>
            </w:r>
          </w:p>
        </w:tc>
        <w:tc>
          <w:tcPr>
            <w:tcW w:type="dxa" w:w="2493"/>
          </w:tcPr>
          <w:p>
            <w:r>
              <w:t>New regime calculation</w:t>
            </w:r>
          </w:p>
        </w:tc>
      </w:tr>
      <w:tr>
        <w:tc>
          <w:tcPr>
            <w:tcW w:type="dxa" w:w="2493"/>
          </w:tcPr>
          <w:p>
            <w:r>
              <w:t>Form 26AS / AIS schema changes</w:t>
            </w:r>
          </w:p>
        </w:tc>
        <w:tc>
          <w:tcPr>
            <w:tcW w:type="dxa" w:w="2493"/>
          </w:tcPr>
          <w:p>
            <w:r>
              <w:t>CBDT</w:t>
            </w:r>
          </w:p>
        </w:tc>
        <w:tc>
          <w:tcPr>
            <w:tcW w:type="dxa" w:w="2493"/>
          </w:tcPr>
          <w:p>
            <w:r>
              <w:t>April / May</w:t>
            </w:r>
          </w:p>
        </w:tc>
        <w:tc>
          <w:tcPr>
            <w:tcW w:type="dxa" w:w="2493"/>
          </w:tcPr>
          <w:p>
            <w:r>
              <w:t>Parser updates</w:t>
            </w:r>
          </w:p>
        </w:tc>
      </w:tr>
    </w:tbl>
    <w:p>
      <w:pPr>
        <w:pStyle w:val="Heading1"/>
      </w:pPr>
      <w:r>
        <w:t>MVP shopping list — what you must have to launch</w:t>
      </w:r>
    </w:p>
    <w:p>
      <w:r>
        <w:rPr>
          <w:b/>
        </w:rPr>
        <w:t>If you can only get a small set before launching the MVP, prioritise these in this order:</w:t>
      </w:r>
    </w:p>
    <w:p>
      <w:pPr>
        <w:pStyle w:val="ListBullet"/>
      </w:pPr>
      <w:r>
        <w:t>1. ITR-1 and ITR-2 JSON schemas (latest AY)</w:t>
      </w:r>
    </w:p>
    <w:p>
      <w:pPr>
        <w:pStyle w:val="ListBullet"/>
      </w:pPr>
      <w:r>
        <w:t>2. Form 16, Form 26AS, AIS PDF/JSON sample files for parser training</w:t>
      </w:r>
    </w:p>
    <w:p>
      <w:pPr>
        <w:pStyle w:val="ListBullet"/>
      </w:pPr>
      <w:r>
        <w:t>3. Finance Act 2026 First Schedule — surcharge slabs, cess rate, special-rate table</w:t>
      </w:r>
    </w:p>
    <w:p>
      <w:pPr>
        <w:pStyle w:val="ListBullet"/>
      </w:pPr>
      <w:r>
        <w:t>4. Cost Inflation Index — full table 2001-02 onwards</w:t>
      </w:r>
    </w:p>
    <w:p>
      <w:pPr>
        <w:pStyle w:val="ListBullet"/>
      </w:pPr>
      <w:r>
        <w:t>5. NSE/BSE 31 January 2018 closing prices for grandfathered equity LTCG</w:t>
      </w:r>
    </w:p>
    <w:p>
      <w:pPr>
        <w:pStyle w:val="ListBullet"/>
      </w:pPr>
      <w:r>
        <w:t>6. Sec 80G approved institutions list</w:t>
      </w:r>
    </w:p>
    <w:p>
      <w:pPr>
        <w:pStyle w:val="ListBullet"/>
      </w:pPr>
      <w:r>
        <w:t>7. CBDT notifications under Sec 263 (return forms) and Sec 393 (TDS rates) — for FY 2026-27</w:t>
      </w:r>
    </w:p>
    <w:p>
      <w:pPr>
        <w:pStyle w:val="ListBullet"/>
      </w:pPr>
      <w:r>
        <w:t>8. PAN validation API access (NSDL or Protean)</w:t>
      </w:r>
    </w:p>
    <w:p>
      <w:pPr>
        <w:pStyle w:val="ListBullet"/>
      </w:pPr>
      <w:r>
        <w:t>9. The Landmark Case Law Compendium (separate doc) — top 30 cases</w:t>
      </w:r>
    </w:p>
    <w:p>
      <w:pPr>
        <w:pStyle w:val="ListBullet"/>
      </w:pPr>
      <w:r>
        <w:t>10. Master broker statement library — Zerodha, Groww, Upstox, ICICI Direct, HDFC Securities, AMFI CAS</w:t>
      </w:r>
    </w:p>
    <w:p>
      <w:pPr>
        <w:pStyle w:val="Heading1"/>
      </w:pPr>
      <w:r>
        <w:t>Cost / effort estimates</w:t>
      </w:r>
    </w:p>
    <w:p>
      <w:r>
        <w:t>Realistic estimates for getting all this: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Item</w:t>
            </w:r>
          </w:p>
        </w:tc>
        <w:tc>
          <w:tcPr>
            <w:tcW w:type="dxa" w:w="2493"/>
          </w:tcPr>
          <w:p>
            <w:r>
              <w:rPr>
                <w:b/>
              </w:rPr>
              <w:t>Cost</w:t>
            </w:r>
          </w:p>
        </w:tc>
        <w:tc>
          <w:tcPr>
            <w:tcW w:type="dxa" w:w="2493"/>
          </w:tcPr>
          <w:p>
            <w:r>
              <w:rPr>
                <w:b/>
              </w:rPr>
              <w:t>Effort</w:t>
            </w:r>
          </w:p>
        </w:tc>
        <w:tc>
          <w:tcPr>
            <w:tcW w:type="dxa" w:w="2493"/>
          </w:tcPr>
          <w:p>
            <w:r>
              <w:rPr>
                <w:b/>
              </w:rPr>
              <w:t>Priority</w:t>
            </w:r>
          </w:p>
        </w:tc>
      </w:tr>
      <w:tr>
        <w:tc>
          <w:tcPr>
            <w:tcW w:type="dxa" w:w="2493"/>
          </w:tcPr>
          <w:p>
            <w:r>
              <w:t>ITR JSON schemas</w:t>
            </w:r>
          </w:p>
        </w:tc>
        <w:tc>
          <w:tcPr>
            <w:tcW w:type="dxa" w:w="2493"/>
          </w:tcPr>
          <w:p>
            <w:r>
              <w:t>Free</w:t>
            </w:r>
          </w:p>
        </w:tc>
        <w:tc>
          <w:tcPr>
            <w:tcW w:type="dxa" w:w="2493"/>
          </w:tcPr>
          <w:p>
            <w:r>
              <w:t>1 week mapping</w:t>
            </w:r>
          </w:p>
        </w:tc>
        <w:tc>
          <w:tcPr>
            <w:tcW w:type="dxa" w:w="2493"/>
          </w:tcPr>
          <w:p>
            <w:r>
              <w:t>MVP</w:t>
            </w:r>
          </w:p>
        </w:tc>
      </w:tr>
      <w:tr>
        <w:tc>
          <w:tcPr>
            <w:tcW w:type="dxa" w:w="2493"/>
          </w:tcPr>
          <w:p>
            <w:r>
              <w:t>PAN / Aadhaar APIs</w:t>
            </w:r>
          </w:p>
        </w:tc>
        <w:tc>
          <w:tcPr>
            <w:tcW w:type="dxa" w:w="2493"/>
          </w:tcPr>
          <w:p>
            <w:r>
              <w:t>₹1-5 per call</w:t>
            </w:r>
          </w:p>
        </w:tc>
        <w:tc>
          <w:tcPr>
            <w:tcW w:type="dxa" w:w="2493"/>
          </w:tcPr>
          <w:p>
            <w:r>
              <w:t>1 week integration</w:t>
            </w:r>
          </w:p>
        </w:tc>
        <w:tc>
          <w:tcPr>
            <w:tcW w:type="dxa" w:w="2493"/>
          </w:tcPr>
          <w:p>
            <w:r>
              <w:t>MVP</w:t>
            </w:r>
          </w:p>
        </w:tc>
      </w:tr>
      <w:tr>
        <w:tc>
          <w:tcPr>
            <w:tcW w:type="dxa" w:w="2493"/>
          </w:tcPr>
          <w:p>
            <w:r>
              <w:t>Account Aggregator FIU partnership</w:t>
            </w:r>
          </w:p>
        </w:tc>
        <w:tc>
          <w:tcPr>
            <w:tcW w:type="dxa" w:w="2493"/>
          </w:tcPr>
          <w:p>
            <w:r>
              <w:t>Revenue share</w:t>
            </w:r>
          </w:p>
        </w:tc>
        <w:tc>
          <w:tcPr>
            <w:tcW w:type="dxa" w:w="2493"/>
          </w:tcPr>
          <w:p>
            <w:r>
              <w:t>2-3 months</w:t>
            </w:r>
          </w:p>
        </w:tc>
        <w:tc>
          <w:tcPr>
            <w:tcW w:type="dxa" w:w="2493"/>
          </w:tcPr>
          <w:p>
            <w:r>
              <w:t>Phase-2</w:t>
            </w:r>
          </w:p>
        </w:tc>
      </w:tr>
      <w:tr>
        <w:tc>
          <w:tcPr>
            <w:tcW w:type="dxa" w:w="2493"/>
          </w:tcPr>
          <w:p>
            <w:r>
              <w:t>ERI registration</w:t>
            </w:r>
          </w:p>
        </w:tc>
        <w:tc>
          <w:tcPr>
            <w:tcW w:type="dxa" w:w="2493"/>
          </w:tcPr>
          <w:p>
            <w:r>
              <w:t>Free + audit</w:t>
            </w:r>
          </w:p>
        </w:tc>
        <w:tc>
          <w:tcPr>
            <w:tcW w:type="dxa" w:w="2493"/>
          </w:tcPr>
          <w:p>
            <w:r>
              <w:t>2-3 months</w:t>
            </w:r>
          </w:p>
        </w:tc>
        <w:tc>
          <w:tcPr>
            <w:tcW w:type="dxa" w:w="2493"/>
          </w:tcPr>
          <w:p>
            <w:r>
              <w:t>Phase-2</w:t>
            </w:r>
          </w:p>
        </w:tc>
      </w:tr>
      <w:tr>
        <w:tc>
          <w:tcPr>
            <w:tcW w:type="dxa" w:w="2493"/>
          </w:tcPr>
          <w:p>
            <w:r>
              <w:t>Indian Kanoon API / scrape</w:t>
            </w:r>
          </w:p>
        </w:tc>
        <w:tc>
          <w:tcPr>
            <w:tcW w:type="dxa" w:w="2493"/>
          </w:tcPr>
          <w:p>
            <w:r>
              <w:t>Free</w:t>
            </w:r>
          </w:p>
        </w:tc>
        <w:tc>
          <w:tcPr>
            <w:tcW w:type="dxa" w:w="2493"/>
          </w:tcPr>
          <w:p>
            <w:r>
              <w:t>2 weeks</w:t>
            </w:r>
          </w:p>
        </w:tc>
        <w:tc>
          <w:tcPr>
            <w:tcW w:type="dxa" w:w="2493"/>
          </w:tcPr>
          <w:p>
            <w:r>
              <w:t>Phase-2</w:t>
            </w:r>
          </w:p>
        </w:tc>
      </w:tr>
      <w:tr>
        <w:tc>
          <w:tcPr>
            <w:tcW w:type="dxa" w:w="2493"/>
          </w:tcPr>
          <w:p>
            <w:r>
              <w:t>Manupatra subscription</w:t>
            </w:r>
          </w:p>
        </w:tc>
        <w:tc>
          <w:tcPr>
            <w:tcW w:type="dxa" w:w="2493"/>
          </w:tcPr>
          <w:p>
            <w:r>
              <w:t>₹50K-2L/year</w:t>
            </w:r>
          </w:p>
        </w:tc>
        <w:tc>
          <w:tcPr>
            <w:tcW w:type="dxa" w:w="2493"/>
          </w:tcPr>
          <w:p>
            <w:r>
              <w:t>Setup quick</w:t>
            </w:r>
          </w:p>
        </w:tc>
        <w:tc>
          <w:tcPr>
            <w:tcW w:type="dxa" w:w="2493"/>
          </w:tcPr>
          <w:p>
            <w:r>
              <w:t>Phase-3</w:t>
            </w:r>
          </w:p>
        </w:tc>
      </w:tr>
      <w:tr>
        <w:tc>
          <w:tcPr>
            <w:tcW w:type="dxa" w:w="2493"/>
          </w:tcPr>
          <w:p>
            <w:r>
              <w:t>Sampath Iyengar print + digital</w:t>
            </w:r>
          </w:p>
        </w:tc>
        <w:tc>
          <w:tcPr>
            <w:tcW w:type="dxa" w:w="2493"/>
          </w:tcPr>
          <w:p>
            <w:r>
              <w:t>₹15K-30K/year</w:t>
            </w:r>
          </w:p>
        </w:tc>
        <w:tc>
          <w:tcPr>
            <w:tcW w:type="dxa" w:w="2493"/>
          </w:tcPr>
          <w:p>
            <w:r>
              <w:t>Read</w:t>
            </w:r>
          </w:p>
        </w:tc>
        <w:tc>
          <w:tcPr>
            <w:tcW w:type="dxa" w:w="2493"/>
          </w:tcPr>
          <w:p>
            <w:r>
              <w:t>Phase-2</w:t>
            </w:r>
          </w:p>
        </w:tc>
      </w:tr>
      <w:tr>
        <w:tc>
          <w:tcPr>
            <w:tcW w:type="dxa" w:w="2493"/>
          </w:tcPr>
          <w:p>
            <w:r>
              <w:t>Vision OCR (Claude / GPT-4) for forms</w:t>
            </w:r>
          </w:p>
        </w:tc>
        <w:tc>
          <w:tcPr>
            <w:tcW w:type="dxa" w:w="2493"/>
          </w:tcPr>
          <w:p>
            <w:r>
              <w:t>Per-API call</w:t>
            </w:r>
          </w:p>
        </w:tc>
        <w:tc>
          <w:tcPr>
            <w:tcW w:type="dxa" w:w="2493"/>
          </w:tcPr>
          <w:p>
            <w:r>
              <w:t>Built-in</w:t>
            </w:r>
          </w:p>
        </w:tc>
        <w:tc>
          <w:tcPr>
            <w:tcW w:type="dxa" w:w="2493"/>
          </w:tcPr>
          <w:p>
            <w:r>
              <w:t>MVP</w:t>
            </w:r>
          </w:p>
        </w:tc>
      </w:tr>
      <w:tr>
        <w:tc>
          <w:tcPr>
            <w:tcW w:type="dxa" w:w="2493"/>
          </w:tcPr>
          <w:p>
            <w:r>
              <w:t>Compliance lawyer review (ISO 27001 / DPDP)</w:t>
            </w:r>
          </w:p>
        </w:tc>
        <w:tc>
          <w:tcPr>
            <w:tcW w:type="dxa" w:w="2493"/>
          </w:tcPr>
          <w:p>
            <w:r>
              <w:t>₹2-5L</w:t>
            </w:r>
          </w:p>
        </w:tc>
        <w:tc>
          <w:tcPr>
            <w:tcW w:type="dxa" w:w="2493"/>
          </w:tcPr>
          <w:p>
            <w:r>
              <w:t>1 month</w:t>
            </w:r>
          </w:p>
        </w:tc>
        <w:tc>
          <w:tcPr>
            <w:tcW w:type="dxa" w:w="2493"/>
          </w:tcPr>
          <w:p>
            <w:r>
              <w:t>Pre-launch</w:t>
            </w:r>
          </w:p>
        </w:tc>
      </w:tr>
      <w:tr>
        <w:tc>
          <w:tcPr>
            <w:tcW w:type="dxa" w:w="2493"/>
          </w:tcPr>
          <w:p>
            <w:r>
              <w:t>ISO 27001 certification</w:t>
            </w:r>
          </w:p>
        </w:tc>
        <w:tc>
          <w:tcPr>
            <w:tcW w:type="dxa" w:w="2493"/>
          </w:tcPr>
          <w:p>
            <w:r>
              <w:t>₹3-8L</w:t>
            </w:r>
          </w:p>
        </w:tc>
        <w:tc>
          <w:tcPr>
            <w:tcW w:type="dxa" w:w="2493"/>
          </w:tcPr>
          <w:p>
            <w:r>
              <w:t>6 months</w:t>
            </w:r>
          </w:p>
        </w:tc>
        <w:tc>
          <w:tcPr>
            <w:tcW w:type="dxa" w:w="2493"/>
          </w:tcPr>
          <w:p>
            <w:r>
              <w:t>Phase-2</w:t>
            </w:r>
          </w:p>
        </w:tc>
      </w:tr>
    </w:tbl>
    <w:p>
      <w:pPr>
        <w:pStyle w:val="Heading1"/>
      </w:pPr>
      <w:r>
        <w:t>What's NOT in this list (deliberately)</w:t>
      </w:r>
    </w:p>
    <w:p>
      <w:pPr>
        <w:pStyle w:val="ListBullet"/>
      </w:pPr>
      <w:r>
        <w:t>Generic LLM / AI tooling — Claude / GPT-4 / OpenAI APIs are platform choices, not knowledge base items</w:t>
      </w:r>
    </w:p>
    <w:p>
      <w:pPr>
        <w:pStyle w:val="ListBullet"/>
      </w:pPr>
      <w:r>
        <w:t>UI / UX design system — that's a product design choice</w:t>
      </w:r>
    </w:p>
    <w:p>
      <w:pPr>
        <w:pStyle w:val="ListBullet"/>
      </w:pPr>
      <w:r>
        <w:t>DevOps / hosting — AWS Mumbai recommended for data localisation but that's infra</w:t>
      </w:r>
    </w:p>
    <w:p>
      <w:pPr>
        <w:pStyle w:val="ListBullet"/>
      </w:pPr>
      <w:r>
        <w:t>Marketing / SEO — separate product workstream</w:t>
      </w:r>
    </w:p>
    <w:p>
      <w:r/>
    </w:p>
    <w:p>
      <w:r>
        <w:rPr>
          <w:b/>
        </w:rPr>
        <w:t xml:space="preserve">Bottom line: </w:t>
      </w:r>
      <w:r>
        <w:t>The Act gives you the rules of the game. The Rules tell you HOW to play. The forms are the scorecard. The case law is the rulebook of judges' calls. The data feeds are the players' stats. And the integrations are the live broadcast feed. You need all six layers — but you can phase them in.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