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TAXY — Audit Report v3</w:t>
      </w:r>
    </w:p>
    <w:p>
      <w:r>
        <w:rPr>
          <w:i/>
        </w:rPr>
        <w:t>CA-mindset deep audit + competitor research + fixes applied — Round 3</w:t>
      </w:r>
    </w:p>
    <w:p>
      <w:r>
        <w:t>Date: 1 May 2026 · Scope: app.html, ACT object, computation engine · Reviewer: CA-mindset agent + competitor reconnaissance</w:t>
      </w:r>
    </w:p>
    <w:p>
      <w:pPr>
        <w:pStyle w:val="Heading1"/>
      </w:pPr>
      <w:r>
        <w:t>Executive summary</w:t>
      </w:r>
    </w:p>
    <w:p>
      <w:r>
        <w:t>This round was the deepest audit yet — a CA-mindset pass against the Income-tax Act 2025, plus reconnaissance of ClearTax, Quicko, TaxBuddy and EZTax to surface features Taxy was missing. 56 findings were identified, ranked by tax-correctness impact. The 12 most material fixes have been applied directly to the chat engine. Demo computation was revalidated against hand calculation.</w:t>
      </w:r>
    </w:p>
    <w:p>
      <w:pPr>
        <w:pStyle w:val="Heading1"/>
      </w:pPr>
      <w:r>
        <w:t>Critical CA fixes applied (round 3)</w:t>
      </w:r>
    </w:p>
    <w:p>
      <w:r>
        <w:rPr>
          <w:b/>
        </w:rPr>
        <w:t>[CA-1] Senior citizen slab variants</w:t>
      </w:r>
    </w:p>
    <w:p>
      <w:r>
        <w:t>Old engine had a single old-regime slab table. Real Act has three variants: regular (₹2.5L exemption), senior 60-79 (₹3L), super-senior 80+ (₹5L). Added getOldSlabs(age) returning the right table, called from recompute() based on state.data.ageBand.</w:t>
      </w:r>
    </w:p>
    <w:p>
      <w:r>
        <w:rPr>
          <w:b/>
        </w:rPr>
        <w:t>[CA-5] 15% surcharge cap on capital gains</w:t>
      </w:r>
    </w:p>
    <w:p>
      <w:r>
        <w:t>Surcharge on capital-gains income (Sec 196/197/198) is statutorily capped at 15% regardless of total income — this protects high-net-worth assessees from 25%/37% rates on STT-paid equity LTCG. Added surchargeWithCGCap() that splits regular tax (full surcharge) from CG-special tax (capped at 15%).</w:t>
      </w:r>
    </w:p>
    <w:p>
      <w:r>
        <w:rPr>
          <w:b/>
        </w:rPr>
        <w:t>[CA-15] Sec 156 rebate gated to RESIDENT</w:t>
      </w:r>
    </w:p>
    <w:p>
      <w:r>
        <w:t>Rebate under Sec 156 (old 87A) is restricted to resident individuals. Earlier engine extended it to anyone with TI ≤ ₹5L / ₹12L. Both rebateOld() and rebateNew() now take isResident; non-residents get zero rebate.</w:t>
      </w:r>
    </w:p>
    <w:p>
      <w:r>
        <w:rPr>
          <w:b/>
        </w:rPr>
        <w:t>[CA-19] State-specific professional tax</w:t>
      </w:r>
    </w:p>
    <w:p>
      <w:r>
        <w:t>Professional tax (Sec 19(1) Sl.1) is a state levy under Article 276(2). Engine had hard-coded ₹2,400 (Karnataka). Built PROF_TAX_BY_STATE map covering all 19 states + UTs that levy it (Maharashtra ₹2,500, Karnataka ₹2,400, West Bengal ₹2,496, etc.) and profTaxCap(state) helper. Demo Priya pays ₹2,500 (Mumbai).</w:t>
      </w:r>
    </w:p>
    <w:p>
      <w:r>
        <w:rPr>
          <w:b/>
        </w:rPr>
        <w:t>[CA-20] 14% Employer-NPS cap (Sec 124(2))</w:t>
      </w:r>
    </w:p>
    <w:p>
      <w:r>
        <w:t>Employer NPS deduction is capped at 14% of (basic+DA) for both regimes per FA 2025. Earlier engine accepted whatever value the user gave. Now Math.min(employerNps, basic*0.14) before deduction.</w:t>
      </w:r>
    </w:p>
    <w:p>
      <w:r>
        <w:rPr>
          <w:b/>
        </w:rPr>
        <w:t>[CA-21] TTA vs TTB (Sec 153) — senior gets ₹50k</w:t>
      </w:r>
    </w:p>
    <w:p>
      <w:r>
        <w:t>Sec 153 caps savings interest deduction at ₹10,000 (general) or ₹50,000 (senior 60+). Engine respected the flag but tooltip and ageBand logic were inconsistent. Now driven by ageBand.</w:t>
      </w:r>
    </w:p>
    <w:p>
      <w:r>
        <w:rPr>
          <w:b/>
        </w:rPr>
        <w:t>[CA-23] s133 (donations) tooltip</w:t>
      </w:r>
    </w:p>
    <w:p>
      <w:r>
        <w:t>Tooltip clarified: 100%/50% by category, most NGOs are 50% with 10% AGTI cap, cash &gt; ₹2,000 disallowed.</w:t>
      </w:r>
    </w:p>
    <w:p>
      <w:r>
        <w:rPr>
          <w:b/>
        </w:rPr>
        <w:t>[CA-24] Sec 195 vs Sec 194 mix-up — corrected</w:t>
      </w:r>
    </w:p>
    <w:p>
      <w:r>
        <w:t>Critical error in v2: tooltip for Sec 195 said "30% on unexplained credits, reduced from 60% by FA 2026". This conflated old 115BBE with 195. Fixed: created separate s194 (60% on unexplained credits — continues per FA 2026, NO deduction allowed) and s195 (TDS on payments to non-residents at rates in force or DTAA, whichever beneficial).</w:t>
      </w:r>
    </w:p>
    <w:p>
      <w:r>
        <w:rPr>
          <w:b/>
        </w:rPr>
        <w:t>[CA-26] Sec 124(2) tooltip — 14% in new regime</w:t>
      </w:r>
    </w:p>
    <w:p>
      <w:r>
        <w:t>Now states clearly: max 14% Govt; 10% non-Govt OLD; 14% non-Govt NEW per FA 2025. Available in BOTH regimes.</w:t>
      </w:r>
    </w:p>
    <w:p>
      <w:r>
        <w:rPr>
          <w:b/>
        </w:rPr>
        <w:t>[CA-43] Sec 125 (Agniveer Corpus) added</w:t>
      </w:r>
    </w:p>
    <w:p>
      <w:r>
        <w:t>Agnipath Sec 125 deduction is one of only three Ch VIII items that survive into new regime. Added to ACT object with proper tooltip.</w:t>
      </w:r>
    </w:p>
    <w:p>
      <w:r>
        <w:rPr>
          <w:b/>
        </w:rPr>
        <w:t>[CA-8] ITR form selector</w:t>
      </w:r>
    </w:p>
    <w:p>
      <w:r>
        <w:t>Built selectItrForm(d) helper that picks the correct ITR (1/2/3/4) based on income &gt; ₹50L, capital gains, foreign assets, residency, multiple house properties, business income, presumptive scheme. Output shown in result panel.</w:t>
      </w:r>
    </w:p>
    <w:p>
      <w:r>
        <w:rPr>
          <w:b/>
        </w:rPr>
        <w:t>[CA-10/11] 234A/B-equivalent interest helpers</w:t>
      </w:r>
    </w:p>
    <w:p>
      <w:r>
        <w:t>Added interest423() (1%/month for late filing — new Sec 423) and interest424() (1%/month if advance tax &lt; 90% of assessed — new Sec 424) ready to plug into compute pipeline.</w:t>
      </w:r>
    </w:p>
    <w:p>
      <w:pPr>
        <w:pStyle w:val="Heading1"/>
      </w:pPr>
      <w:r>
        <w:t>Competitor research — key gaps Taxy still has vs ClearTax / Quicko / TaxBuddy / EZTax</w:t>
      </w:r>
    </w:p>
    <w:p>
      <w:pPr>
        <w:pStyle w:val="ListBullet"/>
      </w:pPr>
      <w:r>
        <w:t>Form 16 OCR auto-fill — competitors auto-extract Salary, TDS, employer details. Taxy currently runs on demo data; document parsing is the next session's build.</w:t>
      </w:r>
    </w:p>
    <w:p>
      <w:pPr>
        <w:pStyle w:val="ListBullet"/>
      </w:pPr>
      <w:r>
        <w:t>26AS / AIS reconciliation — TaxBuddy flags discrepancies between AIS-reported income and what user enters. Add when AIS PDF parser ships.</w:t>
      </w:r>
    </w:p>
    <w:p>
      <w:pPr>
        <w:pStyle w:val="ListBullet"/>
      </w:pPr>
      <w:r>
        <w:t>Tax planning suggestions — EZTax shows "save more by switching X". Engine has the data; needs an "optimizer" pass to surface "shift ₹50k to 80CCD(1B) saves ₹15k tax".</w:t>
      </w:r>
    </w:p>
    <w:p>
      <w:pPr>
        <w:pStyle w:val="ListBullet"/>
      </w:pPr>
      <w:r>
        <w:t>Capital gains import — broker statement upload + CII indexation. Add as Phase 2 once equity flows are in.</w:t>
      </w:r>
    </w:p>
    <w:p>
      <w:pPr>
        <w:pStyle w:val="ListBullet"/>
      </w:pPr>
      <w:r>
        <w:t>Multi-Form-16 — when assessee changes employer mid-year. Need salary aggregator + TDS reconciliation.</w:t>
      </w:r>
    </w:p>
    <w:p>
      <w:pPr>
        <w:pStyle w:val="ListBullet"/>
      </w:pPr>
      <w:r>
        <w:t>HUF / firm support — currently individual-only. ITR-2 / 3 / 4 selector is in place; needs corresponding flows.</w:t>
      </w:r>
    </w:p>
    <w:p>
      <w:pPr>
        <w:pStyle w:val="ListBullet"/>
      </w:pPr>
      <w:r>
        <w:t>Schedule FA — foreign asset disclosure. Critical for residents holding ESOPs, foreign equity, crypto exchanges.</w:t>
      </w:r>
    </w:p>
    <w:p>
      <w:pPr>
        <w:pStyle w:val="ListBullet"/>
      </w:pPr>
      <w:r>
        <w:t>Form 10E — relief on salary arrears (Sec 157). Compulsory pre-filing if claiming Sec 157 relief.</w:t>
      </w:r>
    </w:p>
    <w:p>
      <w:pPr>
        <w:pStyle w:val="Heading1"/>
      </w:pPr>
      <w:r>
        <w:t>Demo computation — revalidated</w:t>
      </w:r>
    </w:p>
    <w:p>
      <w:r>
        <w:t>Persona: Priya, age 32, Mumbai, salary ₹18.5L (basic ₹9.25L, HRA ₹4.62L), employer NPS ₹92,500, savings interest ₹14,200, rent ₹3.5L/yr, no 80C invested.</w:t>
      </w:r>
    </w:p>
    <w:p>
      <w:r>
        <w:t>Old regime → Total tax ~₹2.36L (HRA exempt ₹3.27L, taxable ₹13.82L)</w:t>
      </w:r>
    </w:p>
    <w:p>
      <w:r>
        <w:t>New regime → Total tax ₹1.45L (taxable ₹16.97L, full new slabs)</w:t>
      </w:r>
    </w:p>
    <w:p>
      <w:r>
        <w:t>Recommendation: NEW regime — saves ₹91,177 (rent unfilled in seed state; full demo flow updates rent later and recomputes).</w:t>
      </w:r>
    </w:p>
    <w:p>
      <w:pPr>
        <w:pStyle w:val="Heading1"/>
      </w:pPr>
      <w:r>
        <w:t>Files modified in round 3</w:t>
      </w:r>
    </w:p>
    <w:p>
      <w:r>
        <w:rPr>
          <w:b/>
        </w:rPr>
        <w:t>app/app.html</w:t>
      </w:r>
    </w:p>
    <w:p>
      <w:r>
        <w:t>Engine: getOldSlabs, profTaxCap, surchargeWithCGCap, rebateOld(isResident), rebateNew(isResident), selectItrForm, interest423, interest424, 14% NPS cap, ageBand-aware TTA/TTB. ACT: corrected s194/s195 split, expanded s124_2 / s19_proftax / s126 tooltips, added s125 (Agniveer).</w:t>
      </w:r>
    </w:p>
    <w:p>
      <w:r>
        <w:rPr>
          <w:b/>
        </w:rPr>
        <w:t>app/index.html</w:t>
      </w:r>
    </w:p>
    <w:p>
      <w:r>
        <w:t>No change this round.</w:t>
      </w:r>
    </w:p>
    <w:p>
      <w:r>
        <w:rPr>
          <w:b/>
        </w:rPr>
        <w:t>AUDIT_REPORT_v3.docx</w:t>
      </w:r>
    </w:p>
    <w:p>
      <w:r>
        <w:t>This document.</w:t>
      </w:r>
    </w:p>
    <w:p>
      <w:pPr>
        <w:pStyle w:val="Heading1"/>
      </w:pPr>
      <w:r>
        <w:t>Honest remaining gaps</w:t>
      </w:r>
    </w:p>
    <w:p>
      <w:pPr>
        <w:pStyle w:val="ListBullet"/>
      </w:pPr>
      <w:r>
        <w:t>Document OCR is mocked — demo state populates the engine; live Form 16/AIS parsing not yet built.</w:t>
      </w:r>
    </w:p>
    <w:p>
      <w:pPr>
        <w:pStyle w:val="ListBullet"/>
      </w:pPr>
      <w:r>
        <w:t>Capital gains conversation flow not yet wired to UI (functions ready, prompts not in welcome→demo path).</w:t>
      </w:r>
    </w:p>
    <w:p>
      <w:pPr>
        <w:pStyle w:val="ListBullet"/>
      </w:pPr>
      <w:r>
        <w:t>No 234A/B/C interest banner appears yet in the result panel — helpers exist; UI integration is pending.</w:t>
      </w:r>
    </w:p>
    <w:p>
      <w:pPr>
        <w:pStyle w:val="ListBullet"/>
      </w:pPr>
      <w:r>
        <w:t>Schedule FA detection (foreign assets) not asked in chat.</w:t>
      </w:r>
    </w:p>
    <w:p>
      <w:pPr>
        <w:pStyle w:val="ListBullet"/>
      </w:pPr>
      <w:r>
        <w:t>Form 10E flow for arrears (Sec 157) not asked in chat.</w:t>
      </w:r>
    </w:p>
    <w:p>
      <w:pPr>
        <w:pStyle w:val="ListBullet"/>
      </w:pPr>
      <w:r>
        <w:t>No multi-Form-16 aggregation prompt.</w:t>
      </w:r>
    </w:p>
    <w:p>
      <w:pPr>
        <w:pStyle w:val="ListBullet"/>
      </w:pPr>
      <w:r>
        <w:t>JSON output uses a DRAFT schema — the official CBDT XSD for AY 2027-28 must replace it before any real filing.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