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TAXY — Audit Report v4 (20-agent deep audit)</w:t>
      </w:r>
    </w:p>
    <w:p>
      <w:r>
        <w:t>Date: 1 May 2026 · Scope: 20 specialist agents (10 CA + 10 web dev) ran in parallel against app.html and index.html. This report synthesizes findings, lists patches applied this round, and flags remaining gaps with explicit severity.</w:t>
      </w:r>
    </w:p>
    <w:p>
      <w:pPr>
        <w:pStyle w:val="Heading1"/>
      </w:pPr>
      <w:r>
        <w:t>How this round ran</w:t>
      </w:r>
    </w:p>
    <w:p>
      <w:r>
        <w:t>Ten CA-mindset agents each owned a tax domain — Salaries, House Property, Capital Gains, PGBP, Other Sources, Chapter VIII, Tax Computation, TDS/Advance/Interest, Filing Forms, and Special Situations (NRI/clubbing/losses). Ten web-developer agents each owned a UX/engineering domain — Visual polish, Conversation flow, Document parsing, ITR JSON schema, Tax-planning optimizer, AIS reconciliation, Capital-gains chat, Multi-Form-16, Performance/a11y, and Homepage conversion. Each agent produced 6-15 specific findings with concrete code patches.</w:t>
      </w:r>
    </w:p>
    <w:p>
      <w:pPr>
        <w:pStyle w:val="Heading1"/>
      </w:pPr>
      <w:r>
        <w:t>P0 patches APPLIED in this round</w:t>
      </w:r>
    </w:p>
    <w:p>
      <w:r>
        <w:rPr>
          <w:b/>
        </w:rPr>
        <w:t>Engine — Sec 156 marginal relief (CA-G)</w:t>
      </w:r>
    </w:p>
    <w:p>
      <w:r>
        <w:t>rebateOld() now returns (t-ex) where ex=TI-5L when tax exceeds excess — protects assessees just above ₹5L cliff. New regime already had marginal relief; both gated to RESIDENT.</w:t>
      </w:r>
    </w:p>
    <w:p>
      <w:r>
        <w:rPr>
          <w:b/>
        </w:rPr>
        <w:t>Engine — HRA metro derivation (CA-A)</w:t>
      </w:r>
    </w:p>
    <w:p>
      <w:r>
        <w:t>Added HRA_METROS list and isHraMetro(city) helper. recompute() now derives metro flag from canonical city field rather than free-form boolean. Bengaluru / Hyderabad / Pune incorrectly flagged as metro is no longer possible.</w:t>
      </w:r>
    </w:p>
    <w:p>
      <w:r>
        <w:rPr>
          <w:b/>
        </w:rPr>
        <w:t>Engine — Ch VIII statutory clamps (CA-F)</w:t>
      </w:r>
    </w:p>
    <w:p>
      <w:r>
        <w:t>Sec 123 now Math.min(sec80c, 1.5L); Sec 126 now Math.min(sec80d, 75k regular / 1L senior). User cannot inflate deductions past statutory caps. Surcharge math will no longer underflow.</w:t>
      </w:r>
    </w:p>
    <w:p>
      <w:r>
        <w:rPr>
          <w:b/>
        </w:rPr>
        <w:t>Engine — NRI cannot claim senior basic exemption (CA-J)</w:t>
      </w:r>
    </w:p>
    <w:p>
      <w:r>
        <w:t>recompute() forces ageKey=regular when isResident===false. NRI also gets ttaCap=0 for Sec 153 (resident-only). Earlier engine quietly handed NRIs the ₹3L/₹5L senior basic exemption.</w:t>
      </w:r>
    </w:p>
    <w:p>
      <w:r>
        <w:rPr>
          <w:b/>
        </w:rPr>
        <w:t>A11y — focus-visible + reduced-motion + WCAG contrast (DEV-I)</w:t>
      </w:r>
    </w:p>
    <w:p>
      <w:r>
        <w:t>Added :focus-visible global with 2px purple ring; @media (prefers-reduced-motion) clamps animations to 0.01ms; --text-muted bumped #71717a→#8b8b94 and --text-faint #52525b→#7a7a82 for AA contrast on small text.</w:t>
      </w:r>
    </w:p>
    <w:p>
      <w:r>
        <w:rPr>
          <w:b/>
        </w:rPr>
        <w:t>A11y — chat live region (DEV-I)</w:t>
      </w:r>
    </w:p>
    <w:p>
      <w:r>
        <w:t>#messages container got role="log" aria-live="polite" aria-relevant="additions" so screen readers announce new AI/user turns.</w:t>
      </w:r>
    </w:p>
    <w:p>
      <w:r>
        <w:rPr>
          <w:b/>
        </w:rPr>
        <w:t>Homepage — Priya numbers refreshed (DEV-J)</w:t>
      </w:r>
    </w:p>
    <w:p>
      <w:r>
        <w:t>Old regime old ₹1,81,522 → ₹1,81,501 and savings ₹36,608 → ₹36,587 — reflects CA-19 prof-tax change (₹2,400 → ₹2,500, Maharashtra) flowing through engine.</w:t>
      </w:r>
    </w:p>
    <w:p>
      <w:pPr>
        <w:pStyle w:val="Heading1"/>
      </w:pPr>
      <w:r>
        <w:t>P0 findings DOCUMENTED but not yet patched (impact &gt; effort gap)</w:t>
      </w:r>
    </w:p>
    <w:p>
      <w:r>
        <w:rPr>
          <w:b/>
        </w:rPr>
        <w:t>CA-A — Sec 17(1)(h) ₹7.5L employer-contribution perquisite trigger</w:t>
      </w:r>
    </w:p>
    <w:p>
      <w:r>
        <w:t>Aggregate employer NPS+RPF+superannuation &gt; ₹7.5L is taxable perquisite. Engine never adds it back. Senior execs underpay. Patch needs new fields (employerPF, employerSuperann) — defer to next round.</w:t>
      </w:r>
    </w:p>
    <w:p>
      <w:r>
        <w:rPr>
          <w:b/>
        </w:rPr>
        <w:t>CA-A — Leave encashment / gratuity / VRS / retrenchment exemptions</w:t>
      </w:r>
    </w:p>
    <w:p>
      <w:r>
        <w:t>Schedule II Sl.9-12 carve-outs entirely missing. Retiree with ₹25L leave encashment gets full tax instead of full exemption.</w:t>
      </w:r>
    </w:p>
    <w:p>
      <w:r>
        <w:rPr>
          <w:b/>
        </w:rPr>
        <w:t>CA-B — Whole House Property head missing</w:t>
      </w:r>
    </w:p>
    <w:p>
      <w:r>
        <w:t>No Annual Value, no 30% standard deduction, no SOP cap of 2, no SOP interest cap, no LOP/DLOP, no co-ownership split, no vacancy. recompute() currently treats every taxpayer as zero HP income.</w:t>
      </w:r>
    </w:p>
    <w:p>
      <w:r>
        <w:rPr>
          <w:b/>
        </w:rPr>
        <w:t>CA-C — Whole Capital Gains computation missing</w:t>
      </w:r>
    </w:p>
    <w:p>
      <w:r>
        <w:t>STCG/LTCG never computed; ₹1.25L Sec 198 threshold never applied; CII never read; surchargeWithCGCap helper is dead code (recompute calls plain surcharge). User with ₹50L LTCG silently pays zero CG tax.</w:t>
      </w:r>
    </w:p>
    <w:p>
      <w:r>
        <w:rPr>
          <w:b/>
        </w:rPr>
        <w:t>CA-D — PGBP detection + presumptive Sec 58/61</w:t>
      </w:r>
    </w:p>
    <w:p>
      <w:r>
        <w:t>No "do you have business income?" question. selectItrForm flags hasBusinessIncome but UI never sets it. Freelancers / shopkeepers silently filed under ITR-1 — illegal.</w:t>
      </w:r>
    </w:p>
    <w:p>
      <w:r>
        <w:rPr>
          <w:b/>
        </w:rPr>
        <w:t>CA-E — Lottery + VDA flat-30%, Family pension Sec 92(1)(iia)</w:t>
      </w:r>
    </w:p>
    <w:p>
      <w:r>
        <w:t>Lottery/crypto winnings should be flat 30% with no rebate; engine slabs them and grants Sec 156(2). Family pension ₹15k/₹25k standard deduction missing.</w:t>
      </w:r>
    </w:p>
    <w:p>
      <w:r>
        <w:rPr>
          <w:b/>
        </w:rPr>
        <w:t>CA-F — Sec 124(1) / 124(1B) / 134 / 146 / 154 / 155 missing</w:t>
      </w:r>
    </w:p>
    <w:p>
      <w:r>
        <w:t>Six Ch VIII sections never wired into engine. Sec 146 (80JJAA) is the only non-124(2) deduction allowed in new regime — currently impossible to claim.</w:t>
      </w:r>
    </w:p>
    <w:p>
      <w:r>
        <w:rPr>
          <w:b/>
        </w:rPr>
        <w:t>CA-G — Surcharge marginal relief at every threshold</w:t>
      </w:r>
    </w:p>
    <w:p>
      <w:r>
        <w:t>No code at 50L / 1cr / 2cr / 5cr surcharge cliffs. At ₹50,00,001 the surcharge jump (10% of ~₹12L ≈ ₹1.2L) on ₹1 of additional income violates Sec 156 proviso.</w:t>
      </w:r>
    </w:p>
    <w:p>
      <w:r>
        <w:rPr>
          <w:b/>
        </w:rPr>
        <w:t>CA-G — surchargeWithCGCap is dead code</w:t>
      </w:r>
    </w:p>
    <w:p>
      <w:r>
        <w:t>Helper exists but recompute() calls plain surcharge(). CG-special rate income never gets the 15% surcharge cap. Patch: pass d.taxOnCGSpecial through.</w:t>
      </w:r>
    </w:p>
    <w:p>
      <w:r>
        <w:rPr>
          <w:b/>
        </w:rPr>
        <w:t>CA-H — interest423/424/425 not wired to result panel</w:t>
      </w:r>
    </w:p>
    <w:p>
      <w:r>
        <w:t>Helpers exist but no banner shows 234A/B/C breakdown. interest425 (Sec 425 / old 234C) helper not even written. Per CA-H agent, full block + new helper provided ready to drop in.</w:t>
      </w:r>
    </w:p>
    <w:p>
      <w:r>
        <w:rPr>
          <w:b/>
        </w:rPr>
        <w:t>CA-I — JSON schema missing mandatory CBDT blocks</w:t>
      </w:r>
    </w:p>
    <w:p>
      <w:r>
        <w:t>BankAccountDtls, ScheduleS/HP/EI/AL, EmployerCategoryCd, Verification.Capacity/EVC, AadhaarLinkStatus, late-fee Sec 437. Will fail CBDT validator on day 1.</w:t>
      </w:r>
    </w:p>
    <w:p>
      <w:r>
        <w:rPr>
          <w:b/>
        </w:rPr>
        <w:t>CA-I — Form 10E (Sec 157) and Form 10-IEA gating</w:t>
      </w:r>
    </w:p>
    <w:p>
      <w:r>
        <w:t>No precondition check that Form 10E filed before ITR (Sec 157 relief disallowed otherwise). No 10-IEA acknowledgement when opting OUT of new regime.</w:t>
      </w:r>
    </w:p>
    <w:p>
      <w:r>
        <w:rPr>
          <w:b/>
        </w:rPr>
        <w:t>CA-J — Sec 6 residency calculator</w:t>
      </w:r>
    </w:p>
    <w:p>
      <w:r>
        <w:t>No 182/60+365 day-count test, no Sec 6(1A) deemed-resident, no RNOR detection, no DTAA/TRC pathway.</w:t>
      </w:r>
    </w:p>
    <w:p>
      <w:r>
        <w:rPr>
          <w:b/>
        </w:rPr>
        <w:t>DEV-A — Token alignment between app.html and index.html</w:t>
      </w:r>
    </w:p>
    <w:p>
      <w:r>
        <w:t>index.html --bg-hover #222226 (solid) ≠ app.html rgba(255,255,255,0.06) (translucent). Border radius chaos: 6/7/8/10/12/14/16/18/24px instead of a 4-step scale.</w:t>
      </w:r>
    </w:p>
    <w:p>
      <w:r>
        <w:rPr>
          <w:b/>
        </w:rPr>
        <w:t>DEV-B — Conversation feels scripted / no edit affordance / dead-end closer</w:t>
      </w:r>
    </w:p>
    <w:p>
      <w:r>
        <w:t>Demo writes user replies for them. No "back" or "edit" buttons. "Anything else for this filing?" has no handler. Agent provided full askMultiEmployer/askArrears/askCapitalGains/reviewSummary function bodies.</w:t>
      </w:r>
    </w:p>
    <w:p>
      <w:r>
        <w:rPr>
          <w:b/>
        </w:rPr>
        <w:t>DEV-D — JSON schema rename to CBDT keys</w:t>
      </w:r>
    </w:p>
    <w:p>
      <w:r>
        <w:t>Every field name should map to CBDT XSD: GrossSalary_Sec15→GrossSalary, DeductionUs19_Sl2→DeductionUs16ia, Section123_OldS80C→Section80C, RebateUs156→Rebate87A, etc. Forward-compatible rewrite ready in agent report.</w:t>
      </w:r>
    </w:p>
    <w:p>
      <w:pPr>
        <w:pStyle w:val="Heading1"/>
      </w:pPr>
      <w:r>
        <w:t>Top 5 Phase-2 build moves recommended by the pod</w:t>
      </w:r>
    </w:p>
    <w:p>
      <w:pPr>
        <w:pStyle w:val="ListBullet"/>
      </w:pPr>
      <w:r>
        <w:t>Document parsing pipeline (DEV-C): 4-week plan, hybrid client/server OCR. Form 16 + last-year ITR Week 2; AIS + 26AS Week 3; Zerodha broker + privacy Week 4. Cost ~₹15-25/filing.</w:t>
      </w:r>
    </w:p>
    <w:p>
      <w:pPr>
        <w:pStyle w:val="ListBullet"/>
      </w:pPr>
      <w:r>
        <w:t>Tax-planning optimizer (DEV-E): 14 specific suggestion functions ready (Sec 123 headroom, NPS Tier-I top-up, 134 rent-without-HRA, parents 126, 80GG…). For Priya: 3 actions save ₹74,100/yr and may flip her to old regime.</w:t>
      </w:r>
    </w:p>
    <w:p>
      <w:pPr>
        <w:pStyle w:val="ListBullet"/>
      </w:pPr>
      <w:r>
        <w:t>AIS reconciliation (DEV-F): pseudocode + UI mockup + reconcileAIS(userClaim, aisData) function provided. High-severity demo: Priya has ₹35k HDFC AMC dividend in AIS not in her return.</w:t>
      </w:r>
    </w:p>
    <w:p>
      <w:pPr>
        <w:pStyle w:val="ListBullet"/>
      </w:pPr>
      <w:r>
        <w:t>Capital-gains chat flow (DEV-G): full askCapitalGains() body, classifyAsset() with 23-Jul-2024 cutoff branching, indexedCost() with CII through FY 2026-27. Demo flow with HDFC Bank LTCG ready.</w:t>
      </w:r>
    </w:p>
    <w:p>
      <w:pPr>
        <w:pStyle w:val="ListBullet"/>
      </w:pPr>
      <w:r>
        <w:t>Multi-Form-16 + Form 10E (DEV-H): full askMultiEmployer / askArrears bodies with prior-year slab constants for FY 2023-24 / 2024-25 / 2025-26. Edge cases (Form 12B already received, prof-tax cap, std-ded once) all coded.</w:t>
      </w:r>
    </w:p>
    <w:p>
      <w:pPr>
        <w:pStyle w:val="Heading1"/>
      </w:pPr>
      <w:r>
        <w:t>Demo regression — Priya verified</w:t>
      </w:r>
    </w:p>
    <w:p>
      <w:r>
        <w:t>Mumbai, salary ₹18.5L, basic ₹9.25L, employer NPS ₹92,500, savings interest ₹14,200, with rent ₹4.2L, 80C ₹1.5L, 80D ₹25k post-chat:</w:t>
      </w:r>
    </w:p>
    <w:p>
      <w:r>
        <w:t>Old regime → ₹1,81,501 (down ₹21 from prior round due to Mumbai prof tax ₹2,400→₹2,500)</w:t>
      </w:r>
    </w:p>
    <w:p>
      <w:r>
        <w:t>New regime → ₹1,44,914 (unchanged — prof tax not allowed)</w:t>
      </w:r>
    </w:p>
    <w:p>
      <w:r>
        <w:t>Saves ₹36,587. Winner: NEW.</w:t>
      </w:r>
    </w:p>
    <w:p>
      <w:r>
        <w:t>Engine still produces consistent numbers; round-3 fixes (CA-1/5/15/19/20/23/24/26/43, CA-8) all pass through.</w:t>
      </w:r>
    </w:p>
    <w:p>
      <w:pPr>
        <w:pStyle w:val="Heading1"/>
      </w:pPr>
      <w:r>
        <w:t>Files modified this round</w:t>
      </w:r>
    </w:p>
    <w:p>
      <w:r>
        <w:rPr>
          <w:b/>
        </w:rPr>
        <w:t>app/app.html</w:t>
      </w:r>
    </w:p>
    <w:p>
      <w:r>
        <w:t>Engine: marginal relief in rebateOld; HRA_METROS + isHraMetro; ageKey forces regular for NRI; Ch VIII clamps for sec123/sec126; ttaCap=0 for NRI. CSS: focus-visible, reduced-motion, contrast bumps. DOM: aria-live on #messages.</w:t>
      </w:r>
    </w:p>
    <w:p>
      <w:r>
        <w:rPr>
          <w:b/>
        </w:rPr>
        <w:t>app/index.html</w:t>
      </w:r>
    </w:p>
    <w:p>
      <w:r>
        <w:t>Priya numbers: ₹1,81,522 → ₹1,81,501 and ₹36,608 → ₹36,587.</w:t>
      </w:r>
    </w:p>
    <w:p>
      <w:r>
        <w:rPr>
          <w:b/>
        </w:rPr>
        <w:t>AUDIT_REPORT_v4.docx</w:t>
      </w:r>
    </w:p>
    <w:p>
      <w:r>
        <w:t>This document.</w:t>
      </w:r>
    </w:p>
    <w:p>
      <w:pPr>
        <w:pStyle w:val="Heading1"/>
      </w:pPr>
      <w:r>
        <w:t>Honest position</w:t>
      </w:r>
    </w:p>
    <w:p>
      <w:r>
        <w:t>Taxy v4 is not a "best in the world" product yet. It is the best Act-grounded ITR-1 demo for a salaried metro persona with no capital gains, no business income, no foreign assets, no clubbing, no losses, single Form 16, no arrears. Within that envelope it produces correct numbers, cites the right sections, and renders cleanly with WCAG-AA polish.</w:t>
      </w:r>
    </w:p>
    <w:p>
      <w:r>
        <w:t>Outside that envelope — house property, capital gains, PGBP, NRI, multi-employer, arrears, AIS reconciliation, CBDT JSON validation — the pod found gaps that span weeks of build, not hours. Those are documented above with concrete patches and specific line numbers, ready for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