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TAXY — Audit Report v5 (Big-swarm wave 1)</w:t>
      </w:r>
    </w:p>
    <w:p>
      <w:r>
        <w:t>Date: 2 May 2026 · Scope: started a 110-agent swarm (50 CA + 50 dev + 10 marketing). Platform usage cap kicked in mid-batch — 4 agents returned with usable code patches before the throttle. This report ships the working patches, lists the agents that ran, and the next steps when the cap resets.</w:t>
      </w:r>
    </w:p>
    <w:p>
      <w:pPr>
        <w:pStyle w:val="Heading1"/>
      </w:pPr>
      <w:r>
        <w:t>Honest about the platform limit</w:t>
      </w:r>
    </w:p>
    <w:p>
      <w:r>
        <w:t>Mid-swarm one of the spawned agents returned literally: "You're out of extra usage · resets 11:30pm (Asia/Calcutta)". That is a hard cap on parallel agent calls, not something I can negotiate around by spawning more. The right move was to stop the wave, ship the working patches from the 4 that completed, and stage the remaining 106 agent prompts for a re-run after reset rather than burn budget on agents that would all fail the same way.</w:t>
      </w:r>
    </w:p>
    <w:p>
      <w:pPr>
        <w:pStyle w:val="Heading1"/>
      </w:pPr>
      <w:r>
        <w:t>What landed in this round</w:t>
      </w:r>
    </w:p>
    <w:p>
      <w:r>
        <w:rPr>
          <w:b/>
        </w:rPr>
        <w:t>Engine — Family Pension, Dividends, Savings/FD split (CA-E)</w:t>
      </w:r>
    </w:p>
    <w:p>
      <w:r>
        <w:t>Three new pure helpers added to app.html: familyPensionDeduction(amt, regime) — Sec 92(1)(iia), lower of ⅓ pension or ₹15k old / ₹25k new (FA 2025); dividendIncome(d) — Sec 92 residual taxed at slab plus Sec 393 TDS @10% if any single company pays &gt; ₹5,000 (note: old Sec 115BBDA additional 10% on dividends &gt; ₹10L was abolished by FA 2020 and is NOT in the 2025 Act); savingsInterestSplit(d) — Sec 153 caps savings interest at ₹10,000 for non-seniors and FD/RD is fully taxed at slab; only seniors get the unified ₹50,000 cap covering savings + FD/RD (old 80TTB), NRIs get zero. State data extended with fdInterest, dividend, dividendMaxPerCompany, familyPension fields.</w:t>
      </w:r>
    </w:p>
    <w:p>
      <w:r>
        <w:rPr>
          <w:b/>
        </w:rPr>
        <w:t>Engine — Prior-year ITR pre-fill + YoY comparison (DEV-PriorYear)</w:t>
      </w:r>
    </w:p>
    <w:p>
      <w:r>
        <w:t>Three new functions: mockParsePriorYearITR() returns last year's PAN/name/DOB/address/bank/total income/tax/refund/regime; setPriorYearData(prior) writes identity into state.data; yoyComparisonHtml(prior, current) renders a "Last year ₹X tax → This year ₹Y tax. Change ₹Z (regime: Old → New)" card with regime-switch warning that tells user a Form 10-IEA may be required. Real PDF parsing is the next-session build; the helpers are wired and ready.</w:t>
      </w:r>
    </w:p>
    <w:p>
      <w:r>
        <w:rPr>
          <w:b/>
        </w:rPr>
        <w:t>ACT object — 3 new section entries</w:t>
      </w:r>
    </w:p>
    <w:p>
      <w:r>
        <w:t>s92_familypension (Sec 92(1)(iia)), s92_dividend (Sec 92 — explicit note that old 115BBDA was abolished), and s393_div (Sec 393 — dividend TDS @10%). All three render as hover-tooltip §pills consistent with the rest of the Act-grounded layer.</w:t>
      </w:r>
    </w:p>
    <w:p>
      <w:r>
        <w:rPr>
          <w:b/>
        </w:rPr>
        <w:t>Homepage — Competitor comparison table (MKT-Pricing)</w:t>
      </w:r>
    </w:p>
    <w:p>
      <w:r>
        <w:t>Added a 9-row x 5-col matrix below the existing pricing tiers comparing Taxy vs ClearTax vs Quicko vs TaxBuddy across ITR-1, capital gains, business/F&amp;O, CA review, AI chat, AIS reconciliation, section-cited tooltips, and ITA-2025 readiness. Highlights Taxy's wins (free ITR-1, ₹499 capital gains, AI as core UX, every line cited to a section) without disparaging others.</w:t>
      </w:r>
    </w:p>
    <w:p>
      <w:pPr>
        <w:pStyle w:val="Heading1"/>
      </w:pPr>
      <w:r>
        <w:t>Token alignment block — staged but NOT applied</w:t>
      </w:r>
    </w:p>
    <w:p>
      <w:r>
        <w:t>The DEV agent returned a unified :root token block (color, spacing, radius, type scales) plus 8 find/replace pairs to clean up the radius chaos (7/8/12/16/24px → 4-step var(--r-sm/md/lg/xl) scale). Risky to apply blindly because both files are large single-file HTML and a bad regex could break layout. Staged for the next session — apply CSS-by-CSS and visually QA each rule.</w:t>
      </w:r>
    </w:p>
    <w:p>
      <w:pPr>
        <w:pStyle w:val="Heading1"/>
      </w:pPr>
      <w:r>
        <w:t>110-agent prompts — staged for re-run after reset</w:t>
      </w:r>
    </w:p>
    <w:p>
      <w:r>
        <w:t>The full design (50 CA scenarios, 50 dev features, 10 marketing pieces) is still the right shape — each agent owns a narrow scenario and produces concrete code patches. The 4 agents that ran prove the format works end-to-end. After the usage cap resets, the same swarm can be re-launched in batches of 6-8 (the platform sweet spot before throttling).</w:t>
      </w:r>
    </w:p>
    <w:p>
      <w:r>
        <w:t>Next-batch priority (from v4 P0 backlog still standing):</w:t>
      </w:r>
    </w:p>
    <w:p>
      <w:pPr>
        <w:pStyle w:val="ListBullet"/>
      </w:pPr>
      <w:r>
        <w:t>CA-A — Sec 17(1)(h) ₹7.5L employer-contribution perquisite trigger</w:t>
      </w:r>
    </w:p>
    <w:p>
      <w:pPr>
        <w:pStyle w:val="ListBullet"/>
      </w:pPr>
      <w:r>
        <w:t>CA-B — Whole House Property head (engine + chat flow + ITR fields)</w:t>
      </w:r>
    </w:p>
    <w:p>
      <w:pPr>
        <w:pStyle w:val="ListBullet"/>
      </w:pPr>
      <w:r>
        <w:t>CA-C — Whole Capital Gains computation (engine + chat flow + ITR fields)</w:t>
      </w:r>
    </w:p>
    <w:p>
      <w:pPr>
        <w:pStyle w:val="ListBullet"/>
      </w:pPr>
      <w:r>
        <w:t>CA-D — PGBP detection + Sec 58/61 presumptive</w:t>
      </w:r>
    </w:p>
    <w:p>
      <w:pPr>
        <w:pStyle w:val="ListBullet"/>
      </w:pPr>
      <w:r>
        <w:t>CA-G — Surcharge marginal relief at every threshold (50L / 1cr / 2cr / 5cr)</w:t>
      </w:r>
    </w:p>
    <w:p>
      <w:pPr>
        <w:pStyle w:val="ListBullet"/>
      </w:pPr>
      <w:r>
        <w:t>CA-G — Wire surchargeWithCGCap into recompute (currently dead code)</w:t>
      </w:r>
    </w:p>
    <w:p>
      <w:pPr>
        <w:pStyle w:val="ListBullet"/>
      </w:pPr>
      <w:r>
        <w:t>CA-H — 234A/B/C interest banner in result panel</w:t>
      </w:r>
    </w:p>
    <w:p>
      <w:pPr>
        <w:pStyle w:val="ListBullet"/>
      </w:pPr>
      <w:r>
        <w:t>CA-I — CBDT-compliant ITR JSON schema rewrite</w:t>
      </w:r>
    </w:p>
    <w:p>
      <w:pPr>
        <w:pStyle w:val="ListBullet"/>
      </w:pPr>
      <w:r>
        <w:t>CA-J — Sec 6 residency calculator (182 / 60+365 / 6(1A) / RNOR)</w:t>
      </w:r>
    </w:p>
    <w:p>
      <w:pPr>
        <w:pStyle w:val="ListBullet"/>
      </w:pPr>
      <w:r>
        <w:t>DEV — AIS reconciliation widget</w:t>
      </w:r>
    </w:p>
    <w:p>
      <w:pPr>
        <w:pStyle w:val="ListBullet"/>
      </w:pPr>
      <w:r>
        <w:t>DEV — Tax planning optimizer ("save more by…")</w:t>
      </w:r>
    </w:p>
    <w:p>
      <w:pPr>
        <w:pStyle w:val="ListBullet"/>
      </w:pPr>
      <w:r>
        <w:t>DEV — Multi-Form-16 + Form 10E arrears flow</w:t>
      </w:r>
    </w:p>
    <w:p>
      <w:pPr>
        <w:pStyle w:val="ListBullet"/>
      </w:pPr>
      <w:r>
        <w:t>DEV — Mobile responsive (currently desktop-only)</w:t>
      </w:r>
    </w:p>
    <w:p>
      <w:pPr>
        <w:pStyle w:val="ListBullet"/>
      </w:pPr>
      <w:r>
        <w:t>DEV — Tooltip a11y (button + role=tooltip + Esc dismiss)</w:t>
      </w:r>
    </w:p>
    <w:p>
      <w:pPr>
        <w:pStyle w:val="ListBullet"/>
      </w:pPr>
      <w:r>
        <w:t>MKT — Hero copy A/B variants + 3 personas</w:t>
      </w:r>
    </w:p>
    <w:p>
      <w:pPr>
        <w:pStyle w:val="ListBullet"/>
      </w:pPr>
      <w:r>
        <w:t>MKT — Referral program + viral loop</w:t>
      </w:r>
    </w:p>
    <w:p>
      <w:pPr>
        <w:pStyle w:val="ListBullet"/>
      </w:pPr>
      <w:r>
        <w:t>MKT — SEO content + top 50 keywords</w:t>
      </w:r>
    </w:p>
    <w:p>
      <w:pPr>
        <w:pStyle w:val="ListBullet"/>
      </w:pPr>
      <w:r>
        <w:t>MKT — Trust signals + testimonials structure</w:t>
      </w:r>
    </w:p>
    <w:p>
      <w:pPr>
        <w:pStyle w:val="Heading1"/>
      </w:pPr>
      <w:r>
        <w:t>Files modified this round</w:t>
      </w:r>
    </w:p>
    <w:p>
      <w:r>
        <w:rPr>
          <w:b/>
        </w:rPr>
        <w:t>app/app.html</w:t>
      </w:r>
    </w:p>
    <w:p>
      <w:r>
        <w:t>+3 ACT entries, +3 helper fns (family pension / dividend / savings-FD split), +3 prior-year fns, +5 fields on state.data.</w:t>
      </w:r>
    </w:p>
    <w:p>
      <w:r>
        <w:rPr>
          <w:b/>
        </w:rPr>
        <w:t>app/index.html</w:t>
      </w:r>
    </w:p>
    <w:p>
      <w:r>
        <w:t>+1 competitor comparison table (8 features × 4 competitors).</w:t>
      </w:r>
    </w:p>
    <w:p>
      <w:r>
        <w:rPr>
          <w:b/>
        </w:rPr>
        <w:t>AUDIT_REPORT_v5.docx</w:t>
      </w:r>
    </w:p>
    <w:p>
      <w:r>
        <w:t>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