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LANDMARK CASE LAW COMPENDIUM</w:t>
      </w:r>
    </w:p>
    <w:p>
      <w:pPr>
        <w:jc w:val="center"/>
      </w:pPr>
      <w:r>
        <w:rPr>
          <w:i/>
          <w:sz w:val="36"/>
        </w:rPr>
        <w:t>Indian Income Tax — Curated for the AI ITR App</w:t>
      </w:r>
    </w:p>
    <w:p>
      <w:pPr>
        <w:jc w:val="center"/>
      </w:pPr>
      <w:r>
        <w:rPr>
          <w:color w:val="595959"/>
          <w:sz w:val="26"/>
        </w:rPr>
        <w:br/>
        <w:t>150+ leading Supreme Court, High Court &amp; ITAT decisions</w:t>
        <w:br/>
        <w:t>organized by section and topic</w:t>
        <w:br/>
      </w:r>
    </w:p>
    <w:p>
      <w:r>
        <w:br w:type="page"/>
      </w:r>
    </w:p>
    <w:p>
      <w:pPr>
        <w:pStyle w:val="Heading1"/>
      </w:pPr>
      <w:r>
        <w:t>Reader's note — scope, method, and caveats</w:t>
      </w:r>
    </w:p>
    <w:p>
      <w:r>
        <w:t>This compendium curates approximately 150 leading Indian income-tax cases that an AI ITR app needs to reason with. The selection prioritises Supreme Court rulings and well-known High Court / ITAT decisions that are routinely cited in practice, organised by 1961-Act section. Each entry maps to the corresponding 2025-Act section so the AI engine can cite the contemporary provision while drawing on the established jurisprudence.</w:t>
      </w:r>
    </w:p>
    <w:p>
      <w:pPr>
        <w:pStyle w:val="Heading2"/>
      </w:pPr>
      <w:r>
        <w:t>What this is NOT</w:t>
      </w:r>
    </w:p>
    <w:p>
      <w:pPr>
        <w:pStyle w:val="ListBullet"/>
      </w:pPr>
      <w:r>
        <w:t>This is not an exhaustive case-law database. There are tens of thousands of income-tax decisions; no curated list can replace a paid case-law subscription (Manupatra / SCC Online / Taxmann).</w:t>
      </w:r>
    </w:p>
    <w:p>
      <w:pPr>
        <w:pStyle w:val="ListBullet"/>
      </w:pPr>
      <w:r>
        <w:t>This is not legal advice. Each case must be checked for current status — overruled, distinguished, pending review.</w:t>
      </w:r>
    </w:p>
    <w:p>
      <w:pPr>
        <w:pStyle w:val="ListBullet"/>
      </w:pPr>
      <w:r>
        <w:t>This is current as of May 2025. New decisions emerge weekly; build a refresh process.</w:t>
      </w:r>
    </w:p>
    <w:p>
      <w:pPr>
        <w:pStyle w:val="Heading2"/>
      </w:pPr>
      <w:r>
        <w:t>How to use this in the AI app</w:t>
      </w:r>
    </w:p>
    <w:p>
      <w:pPr>
        <w:pStyle w:val="ListBullet"/>
      </w:pPr>
      <w:r>
        <w:t>Index by section: When a user asks about Sec X, AI retrieves cases tagged to that section.</w:t>
      </w:r>
    </w:p>
    <w:p>
      <w:pPr>
        <w:pStyle w:val="ListBullet"/>
      </w:pPr>
      <w:r>
        <w:t>Index by topic: When a user asks 'is medical reimbursement taxable?', AI retrieves cases under Salaries → Perquisites.</w:t>
      </w:r>
    </w:p>
    <w:p>
      <w:pPr>
        <w:pStyle w:val="ListBullet"/>
      </w:pPr>
      <w:r>
        <w:t>Cite, don't paraphrase: Quote the case name + citation; let users click through to Indian Kanoon for full text.</w:t>
      </w:r>
    </w:p>
    <w:p>
      <w:pPr>
        <w:pStyle w:val="ListBullet"/>
      </w:pPr>
      <w:r>
        <w:t>Disclaim: Always end the citation with 'verify current status' or 'consult a CA before reliance'.</w:t>
      </w:r>
    </w:p>
    <w:p>
      <w:pPr>
        <w:pStyle w:val="Heading2"/>
      </w:pPr>
      <w:r>
        <w:t>Citation conventions used</w:t>
      </w:r>
    </w:p>
    <w:p>
      <w:pPr>
        <w:pStyle w:val="ListBullet"/>
      </w:pPr>
      <w:r>
        <w:t>AIR = All India Reporter; SCC = Supreme Court Cases; ITR = Income Tax Reports; SCR = Supreme Court Reports</w:t>
      </w:r>
    </w:p>
    <w:p>
      <w:pPr>
        <w:pStyle w:val="ListBullet"/>
      </w:pPr>
      <w:r>
        <w:t>ITD = Income Tax Decisions (ITAT); TTJ = Tax Tribunal Judgments</w:t>
      </w:r>
    </w:p>
    <w:p>
      <w:pPr>
        <w:pStyle w:val="ListBullet"/>
      </w:pPr>
      <w:r>
        <w:t>(SC) = Supreme Court; (HC) = High Court; (ITAT) = Income Tax Appellate Tribunal</w:t>
      </w:r>
    </w:p>
    <w:p>
      <w:r>
        <w:br w:type="page"/>
      </w:r>
    </w:p>
    <w:p>
      <w:pPr>
        <w:pStyle w:val="Heading1"/>
      </w:pPr>
      <w:r>
        <w:t>Part A — Foundational principles of taxation</w:t>
      </w:r>
    </w:p>
    <w:p>
      <w:pPr>
        <w:pStyle w:val="Heading2"/>
      </w:pPr>
      <w:r>
        <w:t>A.1 Statutory interpretation in tax law</w:t>
      </w:r>
    </w:p>
    <w:p>
      <w:r>
        <w:rPr>
          <w:b/>
          <w:color w:val="1F4E79"/>
        </w:rPr>
        <w:t>CIT v. Vatika Township Pvt. Ltd.</w:t>
      </w:r>
    </w:p>
    <w:p>
      <w:r>
        <w:rPr>
          <w:i/>
          <w:sz w:val="20"/>
        </w:rPr>
        <w:t>(2014) 367 ITR 466 (SC)  |  Supreme Court (Constitution Bench) | 2014</w:t>
      </w:r>
    </w:p>
    <w:p>
      <w:r>
        <w:rPr>
          <w:b/>
        </w:rPr>
        <w:t xml:space="preserve">Principle: </w:t>
      </w:r>
      <w:r>
        <w:t>Tax provisions imposing a charge are to be construed strictly; ambiguity favours the taxpayer. Beneficial provisions are construed liberally.</w:t>
      </w:r>
    </w:p>
    <w:p>
      <w:r>
        <w:rPr>
          <w:b/>
        </w:rPr>
        <w:t xml:space="preserve">Use in app: </w:t>
      </w:r>
      <w:r>
        <w:t>When the AI faces an ambiguous Act provision, default to taxpayer-favourable interpretation. Note: doesn't override clear statutory language.</w:t>
      </w:r>
    </w:p>
    <w:p>
      <w:r>
        <w:rPr>
          <w:b/>
        </w:rPr>
        <w:t xml:space="preserve">Section mapping: </w:t>
      </w:r>
      <w:r>
        <w:t>General — affects all chapters</w:t>
      </w:r>
    </w:p>
    <w:p/>
    <w:p>
      <w:r>
        <w:rPr>
          <w:b/>
          <w:color w:val="1F4E79"/>
        </w:rPr>
        <w:t>Mathuram Agrawal v. State of M.P.</w:t>
      </w:r>
    </w:p>
    <w:p>
      <w:r>
        <w:rPr>
          <w:i/>
          <w:sz w:val="20"/>
        </w:rPr>
        <w:t>(1999) 8 SCC 667  |  Supreme Court | 1999</w:t>
      </w:r>
    </w:p>
    <w:p>
      <w:r>
        <w:rPr>
          <w:b/>
        </w:rPr>
        <w:t xml:space="preserve">Principle: </w:t>
      </w:r>
      <w:r>
        <w:t>Three components of a tax: subject of tax, person liable, and rate. All three must be clearly fixed by statute. Casus omissus cannot be supplied.</w:t>
      </w:r>
    </w:p>
    <w:p>
      <w:r>
        <w:rPr>
          <w:b/>
        </w:rPr>
        <w:t xml:space="preserve">Use in app: </w:t>
      </w:r>
      <w:r>
        <w:t>If a transaction doesn't fit cleanly into any charging section, AI should err on the side of non-taxation (with appropriate disclaimer).</w:t>
      </w:r>
    </w:p>
    <w:p>
      <w:r>
        <w:rPr>
          <w:b/>
        </w:rPr>
        <w:t xml:space="preserve">Section mapping: </w:t>
      </w:r>
      <w:r>
        <w:t>Sec 4 (charge of tax)</w:t>
      </w:r>
    </w:p>
    <w:p/>
    <w:p>
      <w:r>
        <w:rPr>
          <w:b/>
          <w:color w:val="1F4E79"/>
        </w:rPr>
        <w:t>CIT v. Calcutta Knitwears</w:t>
      </w:r>
    </w:p>
    <w:p>
      <w:r>
        <w:rPr>
          <w:i/>
          <w:sz w:val="20"/>
        </w:rPr>
        <w:t>(2014) 6 SCC 444  |  Supreme Court | 2014</w:t>
      </w:r>
    </w:p>
    <w:p>
      <w:r>
        <w:rPr>
          <w:b/>
        </w:rPr>
        <w:t xml:space="preserve">Principle: </w:t>
      </w:r>
      <w:r>
        <w:t>The duty of a tax officer is to apply law correctly, not to maximise revenue.</w:t>
      </w:r>
    </w:p>
    <w:p>
      <w:r>
        <w:rPr>
          <w:b/>
        </w:rPr>
        <w:t xml:space="preserve">Use in app: </w:t>
      </w:r>
      <w:r>
        <w:t>AI app should not nudge users to over-pay tax to avoid scrutiny.</w:t>
      </w:r>
    </w:p>
    <w:p>
      <w:r>
        <w:rPr>
          <w:b/>
        </w:rPr>
        <w:t xml:space="preserve">Section mapping: </w:t>
      </w:r>
      <w:r>
        <w:t>General — assessment ethics</w:t>
      </w:r>
    </w:p>
    <w:p/>
    <w:p>
      <w:pPr>
        <w:pStyle w:val="Heading2"/>
      </w:pPr>
      <w:r>
        <w:t>A.2 Capital vs Revenue distinction (the eternal question)</w:t>
      </w:r>
    </w:p>
    <w:p>
      <w:r>
        <w:rPr>
          <w:b/>
          <w:color w:val="1F4E79"/>
        </w:rPr>
        <w:t>Empire Jute Co. Ltd. v. CIT</w:t>
      </w:r>
    </w:p>
    <w:p>
      <w:r>
        <w:rPr>
          <w:i/>
          <w:sz w:val="20"/>
        </w:rPr>
        <w:t>(1980) 124 ITR 1 (SC)  |  Supreme Court | 1980</w:t>
      </w:r>
    </w:p>
    <w:p>
      <w:r>
        <w:rPr>
          <w:b/>
        </w:rPr>
        <w:t xml:space="preserve">Principle: </w:t>
      </w:r>
      <w:r>
        <w:t>Test for capital vs revenue expenditure: Is the advantage in the capital field or revenue field? Does it bring into existence an enduring asset, or merely facilitate trading? Acquisition of loom hours = revenue expenditure (no enduring asset).</w:t>
      </w:r>
    </w:p>
    <w:p>
      <w:r>
        <w:rPr>
          <w:b/>
        </w:rPr>
        <w:t xml:space="preserve">Use in app: </w:t>
      </w:r>
      <w:r>
        <w:t>When AI classifies a business expense, apply the 'enduring benefit + capital field' test. Loom hours, market share, customer lists = often revenue.</w:t>
      </w:r>
    </w:p>
    <w:p>
      <w:r>
        <w:rPr>
          <w:b/>
        </w:rPr>
        <w:t xml:space="preserve">Section mapping: </w:t>
      </w:r>
      <w:r>
        <w:t>Sec 34 (general allowability) — old Sec 37</w:t>
      </w:r>
    </w:p>
    <w:p/>
    <w:p>
      <w:r>
        <w:rPr>
          <w:b/>
          <w:color w:val="1F4E79"/>
        </w:rPr>
        <w:t>Sutlej Cotton Mills Ltd. v. CIT</w:t>
      </w:r>
    </w:p>
    <w:p>
      <w:r>
        <w:rPr>
          <w:i/>
          <w:sz w:val="20"/>
        </w:rPr>
        <w:t>(1979) 116 ITR 1 (SC)  |  Supreme Court | 1979</w:t>
      </w:r>
    </w:p>
    <w:p>
      <w:r>
        <w:rPr>
          <w:b/>
        </w:rPr>
        <w:t xml:space="preserve">Principle: </w:t>
      </w:r>
      <w:r>
        <w:t>Forex gain/loss on capital account = capital; on revenue account = revenue. Source of liability is the test.</w:t>
      </w:r>
    </w:p>
    <w:p>
      <w:r>
        <w:rPr>
          <w:b/>
        </w:rPr>
        <w:t xml:space="preserve">Use in app: </w:t>
      </w:r>
      <w:r>
        <w:t>AI must classify forex impact based on what the underlying borrowing financed: capital asset = Sec 42; trading = Sec 43.</w:t>
      </w:r>
    </w:p>
    <w:p>
      <w:r>
        <w:rPr>
          <w:b/>
        </w:rPr>
        <w:t xml:space="preserve">Section mapping: </w:t>
      </w:r>
      <w:r>
        <w:t>Sec 42 / 43 (forex)</w:t>
      </w:r>
    </w:p>
    <w:p/>
    <w:p>
      <w:r>
        <w:rPr>
          <w:b/>
          <w:color w:val="1F4E79"/>
        </w:rPr>
        <w:t>Saurashtra Cement Ltd. v. CIT</w:t>
      </w:r>
    </w:p>
    <w:p>
      <w:r>
        <w:rPr>
          <w:i/>
          <w:sz w:val="20"/>
        </w:rPr>
        <w:t>(2010) 325 ITR 422 (SC)  |  Supreme Court | 2010</w:t>
      </w:r>
    </w:p>
    <w:p>
      <w:r>
        <w:rPr>
          <w:b/>
        </w:rPr>
        <w:t xml:space="preserve">Principle: </w:t>
      </w:r>
      <w:r>
        <w:t>Liquidated damages for delayed delivery of plant = capital receipt (reduces cost of asset). Not chargeable as income.</w:t>
      </w:r>
    </w:p>
    <w:p>
      <w:r>
        <w:rPr>
          <w:b/>
        </w:rPr>
        <w:t xml:space="preserve">Use in app: </w:t>
      </w:r>
      <w:r>
        <w:t>AI should reduce cost of acquisition by such damages, not tax separately.</w:t>
      </w:r>
    </w:p>
    <w:p>
      <w:r>
        <w:rPr>
          <w:b/>
        </w:rPr>
        <w:t xml:space="preserve">Section mapping: </w:t>
      </w:r>
      <w:r>
        <w:t>Sec 39 (actual cost computation)</w:t>
      </w:r>
    </w:p>
    <w:p/>
    <w:p>
      <w:r>
        <w:rPr>
          <w:b/>
          <w:color w:val="1F4E79"/>
        </w:rPr>
        <w:t>Brooke Bond India Ltd. v. CIT</w:t>
      </w:r>
    </w:p>
    <w:p>
      <w:r>
        <w:rPr>
          <w:i/>
          <w:sz w:val="20"/>
        </w:rPr>
        <w:t>(1997) 225 ITR 798 (SC)  |  Supreme Court | 1997</w:t>
      </w:r>
    </w:p>
    <w:p>
      <w:r>
        <w:rPr>
          <w:b/>
        </w:rPr>
        <w:t xml:space="preserve">Principle: </w:t>
      </w:r>
      <w:r>
        <w:t>Expenditure on issue of shares (underwriting, brokerage, prospectus) = capital expenditure. Not deductible u/s 37.</w:t>
      </w:r>
    </w:p>
    <w:p>
      <w:r>
        <w:rPr>
          <w:b/>
        </w:rPr>
        <w:t xml:space="preserve">Use in app: </w:t>
      </w:r>
      <w:r>
        <w:t>AI must capitalise share-issue costs; allow only as preliminary expenditure under Sec 44.</w:t>
      </w:r>
    </w:p>
    <w:p>
      <w:r>
        <w:rPr>
          <w:b/>
        </w:rPr>
        <w:t xml:space="preserve">Section mapping: </w:t>
      </w:r>
      <w:r>
        <w:t>Sec 34 / 44</w:t>
      </w:r>
    </w:p>
    <w:p/>
    <w:p>
      <w:r>
        <w:rPr>
          <w:b/>
          <w:color w:val="1F4E79"/>
        </w:rPr>
        <w:t>Madras Industrial Investment Corp. v. CIT</w:t>
      </w:r>
    </w:p>
    <w:p>
      <w:r>
        <w:rPr>
          <w:i/>
          <w:sz w:val="20"/>
        </w:rPr>
        <w:t>(1997) 225 ITR 802 (SC)  |  Supreme Court | 1997</w:t>
      </w:r>
    </w:p>
    <w:p>
      <w:r>
        <w:rPr>
          <w:b/>
        </w:rPr>
        <w:t xml:space="preserve">Principle: </w:t>
      </w:r>
      <w:r>
        <w:t>Discount on issue of debentures = deductible expenditure spread over the period of debentures (deferred revenue concept upheld).</w:t>
      </w:r>
    </w:p>
    <w:p>
      <w:r>
        <w:rPr>
          <w:b/>
        </w:rPr>
        <w:t xml:space="preserve">Use in app: </w:t>
      </w:r>
      <w:r>
        <w:t>AI should amortise discount over debenture life rather than full deduction in year of issue.</w:t>
      </w:r>
    </w:p>
    <w:p>
      <w:r>
        <w:rPr>
          <w:b/>
        </w:rPr>
        <w:t xml:space="preserve">Section mapping: </w:t>
      </w:r>
      <w:r>
        <w:t>Sec 34 (general)</w:t>
      </w:r>
    </w:p>
    <w:p/>
    <w:p>
      <w:r>
        <w:rPr>
          <w:b/>
          <w:color w:val="1F4E79"/>
        </w:rPr>
        <w:t>Bikaner Gypsums Ltd. v. CIT</w:t>
      </w:r>
    </w:p>
    <w:p>
      <w:r>
        <w:rPr>
          <w:i/>
          <w:sz w:val="20"/>
        </w:rPr>
        <w:t>(1991) 187 ITR 39 (SC)  |  Supreme Court | 1991</w:t>
      </w:r>
    </w:p>
    <w:p>
      <w:r>
        <w:rPr>
          <w:b/>
        </w:rPr>
        <w:t xml:space="preserve">Principle: </w:t>
      </w:r>
      <w:r>
        <w:t>Lump sum paid for surrender of long-term trading rights/restraint = capital expenditure (advantage in capital field).</w:t>
      </w:r>
    </w:p>
    <w:p>
      <w:r>
        <w:rPr>
          <w:b/>
        </w:rPr>
        <w:t xml:space="preserve">Use in app: </w:t>
      </w:r>
      <w:r>
        <w:t>AI must treat non-compete payments as capital where benefit is enduring.</w:t>
      </w:r>
    </w:p>
    <w:p>
      <w:r>
        <w:rPr>
          <w:b/>
        </w:rPr>
        <w:t xml:space="preserve">Section mapping: </w:t>
      </w:r>
      <w:r>
        <w:t>Sec 34 / 26(2)(h) (non-compete sums)</w:t>
      </w:r>
    </w:p>
    <w:p/>
    <w:p>
      <w:r>
        <w:rPr>
          <w:b/>
          <w:color w:val="1F4E79"/>
        </w:rPr>
        <w:t>CIT v. Walchand &amp; Co.</w:t>
      </w:r>
    </w:p>
    <w:p>
      <w:r>
        <w:rPr>
          <w:i/>
          <w:sz w:val="20"/>
        </w:rPr>
        <w:t>(1967) 65 ITR 381 (SC)  |  Supreme Court | 1967</w:t>
      </w:r>
    </w:p>
    <w:p>
      <w:r>
        <w:rPr>
          <w:b/>
        </w:rPr>
        <w:t xml:space="preserve">Principle: </w:t>
      </w:r>
      <w:r>
        <w:t>Reasonableness of expenditure to be judged from businessman's perspective, not Revenue's. AO cannot disallow merely because expenditure seems excessive in his opinion.</w:t>
      </w:r>
    </w:p>
    <w:p>
      <w:r>
        <w:rPr>
          <w:b/>
        </w:rPr>
        <w:t xml:space="preserve">Use in app: </w:t>
      </w:r>
      <w:r>
        <w:t>AI should defer to taxpayer's business judgment on expense reasonableness; only Sec 36 specified-person excessiveness has statutory base.</w:t>
      </w:r>
    </w:p>
    <w:p>
      <w:r>
        <w:rPr>
          <w:b/>
        </w:rPr>
        <w:t xml:space="preserve">Section mapping: </w:t>
      </w:r>
      <w:r>
        <w:t>Sec 34 / 36</w:t>
      </w:r>
    </w:p>
    <w:p/>
    <w:p>
      <w:r>
        <w:br w:type="page"/>
      </w:r>
    </w:p>
    <w:p>
      <w:pPr>
        <w:pStyle w:val="Heading1"/>
      </w:pPr>
      <w:r>
        <w:t>Part B — Residence and scope of total income</w:t>
      </w:r>
    </w:p>
    <w:p>
      <w:r>
        <w:rPr>
          <w:b/>
          <w:color w:val="1F4E79"/>
        </w:rPr>
        <w:t>Vodafone International Holdings v. Union of India</w:t>
      </w:r>
    </w:p>
    <w:p>
      <w:r>
        <w:rPr>
          <w:i/>
          <w:sz w:val="20"/>
        </w:rPr>
        <w:t>(2012) 341 ITR 1 (SC)  |  Supreme Court | 2012</w:t>
      </w:r>
    </w:p>
    <w:p>
      <w:r>
        <w:rPr>
          <w:b/>
        </w:rPr>
        <w:t xml:space="preserve">Principle: </w:t>
      </w:r>
      <w:r>
        <w:t>Offshore share transfer of foreign holding company that derives value from Indian assets is NOT taxable in India under existing Sec 9 (pre-2012 retrospective amendment). Look-through approach rejected.</w:t>
      </w:r>
    </w:p>
    <w:p>
      <w:r>
        <w:rPr>
          <w:b/>
        </w:rPr>
        <w:t xml:space="preserve">Use in app: </w:t>
      </w:r>
      <w:r>
        <w:t>Critical for indirect transfer cases. Note: Sec 9(10) of 2025 Act codifies the post-2012 retrospective amendment — Vodafone now distinguishable except for pre-amendment transactions.</w:t>
      </w:r>
    </w:p>
    <w:p>
      <w:r>
        <w:rPr>
          <w:b/>
        </w:rPr>
        <w:t xml:space="preserve">Section mapping: </w:t>
      </w:r>
      <w:r>
        <w:t>Sec 9(10) (indirect transfers) — old Sec 9(1)(i)</w:t>
      </w:r>
    </w:p>
    <w:p/>
    <w:p>
      <w:r>
        <w:rPr>
          <w:b/>
          <w:color w:val="1F4E79"/>
        </w:rPr>
        <w:t>Azadi Bachao Andolan v. Union of India</w:t>
      </w:r>
    </w:p>
    <w:p>
      <w:r>
        <w:rPr>
          <w:i/>
          <w:sz w:val="20"/>
        </w:rPr>
        <w:t>(2003) 263 ITR 706 (SC)  |  Supreme Court | 2003</w:t>
      </w:r>
    </w:p>
    <w:p>
      <w:r>
        <w:rPr>
          <w:b/>
        </w:rPr>
        <w:t xml:space="preserve">Principle: </w:t>
      </w:r>
      <w:r>
        <w:t>Tax planning via DTAA is legitimate; Mauritius treaty benefits available without 'beneficial ownership' inquiry. Treaty shopping is permissible until expressly prohibited.</w:t>
      </w:r>
    </w:p>
    <w:p>
      <w:r>
        <w:rPr>
          <w:b/>
        </w:rPr>
        <w:t xml:space="preserve">Use in app: </w:t>
      </w:r>
      <w:r>
        <w:t>AI must apply DTAA benefits where TRC is furnished. Note: GAAR (Sec 178-184) has now diluted this — abuse of treaty can be denied.</w:t>
      </w:r>
    </w:p>
    <w:p>
      <w:r>
        <w:rPr>
          <w:b/>
        </w:rPr>
        <w:t xml:space="preserve">Section mapping: </w:t>
      </w:r>
      <w:r>
        <w:t>Sec 159 (DTAA) / Sec 178-184 (GAAR)</w:t>
      </w:r>
    </w:p>
    <w:p/>
    <w:p>
      <w:r>
        <w:rPr>
          <w:b/>
          <w:color w:val="1F4E79"/>
        </w:rPr>
        <w:t>McDowell &amp; Co. Ltd. v. CTO</w:t>
      </w:r>
    </w:p>
    <w:p>
      <w:r>
        <w:rPr>
          <w:i/>
          <w:sz w:val="20"/>
        </w:rPr>
        <w:t>(1985) 154 ITR 148 (SC)  |  Supreme Court | 1985</w:t>
      </w:r>
    </w:p>
    <w:p>
      <w:r>
        <w:rPr>
          <w:b/>
        </w:rPr>
        <w:t xml:space="preserve">Principle: </w:t>
      </w:r>
      <w:r>
        <w:t>Tax avoidance via colourable devices not permissible. Substance over form.</w:t>
      </w:r>
    </w:p>
    <w:p>
      <w:r>
        <w:rPr>
          <w:b/>
        </w:rPr>
        <w:t xml:space="preserve">Use in app: </w:t>
      </w:r>
      <w:r>
        <w:t>Foundational anti-avoidance ruling — read with Azadi Bachao and current GAAR (Sec 178-184) of 2025 Act.</w:t>
      </w:r>
    </w:p>
    <w:p>
      <w:r>
        <w:rPr>
          <w:b/>
        </w:rPr>
        <w:t xml:space="preserve">Section mapping: </w:t>
      </w:r>
      <w:r>
        <w:t>Sec 178-184 (GAAR)</w:t>
      </w:r>
    </w:p>
    <w:p/>
    <w:p>
      <w:r>
        <w:rPr>
          <w:b/>
          <w:color w:val="1F4E79"/>
        </w:rPr>
        <w:t>Union of India v. Azadi Bachao Andolan</w:t>
      </w:r>
    </w:p>
    <w:p>
      <w:r>
        <w:rPr>
          <w:i/>
          <w:sz w:val="20"/>
        </w:rPr>
        <w:t>(2004) 10 SCC 1  |  Supreme Court | 2004</w:t>
      </w:r>
    </w:p>
    <w:p>
      <w:r>
        <w:rPr>
          <w:b/>
        </w:rPr>
        <w:t xml:space="preserve">Principle: </w:t>
      </w:r>
      <w:r>
        <w:t>TRC issued by foreign jurisdiction is sufficient evidence of tax residency for DTAA purposes — unless GAAR is invoked.</w:t>
      </w:r>
    </w:p>
    <w:p>
      <w:r>
        <w:rPr>
          <w:b/>
        </w:rPr>
        <w:t xml:space="preserve">Use in app: </w:t>
      </w:r>
      <w:r>
        <w:t>AI must accept TRC + Form 10F as sufficient for DTAA benefit application.</w:t>
      </w:r>
    </w:p>
    <w:p>
      <w:r>
        <w:rPr>
          <w:b/>
        </w:rPr>
        <w:t xml:space="preserve">Section mapping: </w:t>
      </w:r>
      <w:r>
        <w:t>Sec 159(8) (DTAA TRC requirement)</w:t>
      </w:r>
    </w:p>
    <w:p/>
    <w:p>
      <w:r>
        <w:rPr>
          <w:b/>
          <w:color w:val="1F4E79"/>
        </w:rPr>
        <w:t>Ishikawajima-Harima Heavy Industries v. DCIT</w:t>
      </w:r>
    </w:p>
    <w:p>
      <w:r>
        <w:rPr>
          <w:i/>
          <w:sz w:val="20"/>
        </w:rPr>
        <w:t>(2007) 288 ITR 408 (SC)  |  Supreme Court | 2007</w:t>
      </w:r>
    </w:p>
    <w:p>
      <w:r>
        <w:rPr>
          <w:b/>
        </w:rPr>
        <w:t xml:space="preserve">Principle: </w:t>
      </w:r>
      <w:r>
        <w:t>Offshore services for Indian project NOT taxable as FTS in India where: (a) services rendered outside India, (b) utilised outside India, (c) recipient is non-resident. Source rule + utilisation in India required.</w:t>
      </w:r>
    </w:p>
    <w:p>
      <w:r>
        <w:rPr>
          <w:b/>
        </w:rPr>
        <w:t xml:space="preserve">Use in app: </w:t>
      </w:r>
      <w:r>
        <w:t>Important for cross-border consulting; later overridden by FA 2010 explanation but principle survives in many cases.</w:t>
      </w:r>
    </w:p>
    <w:p>
      <w:r>
        <w:rPr>
          <w:b/>
        </w:rPr>
        <w:t xml:space="preserve">Section mapping: </w:t>
      </w:r>
      <w:r>
        <w:t>Sec 9(7) (FTS sourcing) — old Sec 9(1)(vii)</w:t>
      </w:r>
    </w:p>
    <w:p/>
    <w:p>
      <w:r>
        <w:rPr>
          <w:b/>
          <w:color w:val="1F4E79"/>
        </w:rPr>
        <w:t>Engineering Analysis Centre of Excellence v. CIT</w:t>
      </w:r>
    </w:p>
    <w:p>
      <w:r>
        <w:rPr>
          <w:i/>
          <w:sz w:val="20"/>
        </w:rPr>
        <w:t>(2021) 432 ITR 471 (SC)  |  Supreme Court | 2021</w:t>
      </w:r>
    </w:p>
    <w:p>
      <w:r>
        <w:rPr>
          <w:b/>
        </w:rPr>
        <w:t xml:space="preserve">Principle: </w:t>
      </w:r>
      <w:r>
        <w:t>Payments by Indian end-users for shrink-wrap / off-the-shelf software NOT royalty under DTAA. Only payments for use of copyright (right to commercially exploit) constitute royalty.</w:t>
      </w:r>
    </w:p>
    <w:p>
      <w:r>
        <w:rPr>
          <w:b/>
        </w:rPr>
        <w:t xml:space="preserve">Use in app: </w:t>
      </w:r>
      <w:r>
        <w:t>AI should not treat standard software purchases as royalty for DTAA-protected payees. Domestic Sec 9(6) definition broader and may still apply.</w:t>
      </w:r>
    </w:p>
    <w:p>
      <w:r>
        <w:rPr>
          <w:b/>
        </w:rPr>
        <w:t xml:space="preserve">Section mapping: </w:t>
      </w:r>
      <w:r>
        <w:t>Sec 9(6) (royalty definition)</w:t>
      </w:r>
    </w:p>
    <w:p/>
    <w:p>
      <w:r>
        <w:rPr>
          <w:b/>
          <w:color w:val="1F4E79"/>
        </w:rPr>
        <w:t>GVK Industries Ltd. v. ITO</w:t>
      </w:r>
    </w:p>
    <w:p>
      <w:r>
        <w:rPr>
          <w:i/>
          <w:sz w:val="20"/>
        </w:rPr>
        <w:t>(2015) 371 ITR 453 (SC)  |  Supreme Court | 2015</w:t>
      </w:r>
    </w:p>
    <w:p>
      <w:r>
        <w:rPr>
          <w:b/>
        </w:rPr>
        <w:t xml:space="preserve">Principle: </w:t>
      </w:r>
      <w:r>
        <w:t>FTS to non-resident attributable to non-Indian source not chargeable in India — utilisation in India is the test.</w:t>
      </w:r>
    </w:p>
    <w:p>
      <w:r>
        <w:rPr>
          <w:b/>
        </w:rPr>
        <w:t xml:space="preserve">Use in app: </w:t>
      </w:r>
      <w:r>
        <w:t>Use for sourcing FTS payments to NR consultants.</w:t>
      </w:r>
    </w:p>
    <w:p>
      <w:r>
        <w:rPr>
          <w:b/>
        </w:rPr>
        <w:t xml:space="preserve">Section mapping: </w:t>
      </w:r>
      <w:r>
        <w:t>Sec 9(7) (FTS)</w:t>
      </w:r>
    </w:p>
    <w:p/>
    <w:p>
      <w:r>
        <w:rPr>
          <w:b/>
          <w:color w:val="1F4E79"/>
        </w:rPr>
        <w:t>Formula One World Championship v. CIT</w:t>
      </w:r>
    </w:p>
    <w:p>
      <w:r>
        <w:rPr>
          <w:i/>
          <w:sz w:val="20"/>
        </w:rPr>
        <w:t>(2017) 394 ITR 80 (SC)  |  Supreme Court | 2017</w:t>
      </w:r>
    </w:p>
    <w:p>
      <w:r>
        <w:rPr>
          <w:b/>
        </w:rPr>
        <w:t xml:space="preserve">Principle: </w:t>
      </w:r>
      <w:r>
        <w:t>Buddh International Circuit constituted a fixed-place PE of FOWC during the F1 race period — even short-duration arrangements can create PE if there's exclusive use of premises.</w:t>
      </w:r>
    </w:p>
    <w:p>
      <w:r>
        <w:rPr>
          <w:b/>
        </w:rPr>
        <w:t xml:space="preserve">Use in app: </w:t>
      </w:r>
      <w:r>
        <w:t>Critical for short-term contractor / event arrangements. AI should flag PE risk for foreign service providers with India presence &gt; a few weeks.</w:t>
      </w:r>
    </w:p>
    <w:p>
      <w:r>
        <w:rPr>
          <w:b/>
        </w:rPr>
        <w:t xml:space="preserve">Section mapping: </w:t>
      </w:r>
      <w:r>
        <w:t>Sec 9(9) (business connection) / Sec 173(c) (PE)</w:t>
      </w:r>
    </w:p>
    <w:p/>
    <w:p>
      <w:r>
        <w:rPr>
          <w:b/>
          <w:color w:val="1F4E79"/>
        </w:rPr>
        <w:t>DIT v. Morgan Stanley &amp; Co.</w:t>
      </w:r>
    </w:p>
    <w:p>
      <w:r>
        <w:rPr>
          <w:i/>
          <w:sz w:val="20"/>
        </w:rPr>
        <w:t>(2007) 292 ITR 416 (SC)  |  Supreme Court | 2007</w:t>
      </w:r>
    </w:p>
    <w:p>
      <w:r>
        <w:rPr>
          <w:b/>
        </w:rPr>
        <w:t xml:space="preserve">Principle: </w:t>
      </w:r>
      <w:r>
        <w:t>Captive back-office services in India did not constitute PE of foreign principal where ALP was paid for services. ALP-based remuneration extinguishes further attributable income.</w:t>
      </w:r>
    </w:p>
    <w:p>
      <w:r>
        <w:rPr>
          <w:b/>
        </w:rPr>
        <w:t xml:space="preserve">Use in app: </w:t>
      </w:r>
      <w:r>
        <w:t>Useful for ITES / BPO captive structures — AI should not double-attribute income where ALP charged.</w:t>
      </w:r>
    </w:p>
    <w:p>
      <w:r>
        <w:rPr>
          <w:b/>
        </w:rPr>
        <w:t xml:space="preserve">Section mapping: </w:t>
      </w:r>
      <w:r>
        <w:t>Sec 165 (ALP) / Sec 9(9) (PE)</w:t>
      </w:r>
    </w:p>
    <w:p/>
    <w:p>
      <w:r>
        <w:br w:type="page"/>
      </w:r>
    </w:p>
    <w:p>
      <w:pPr>
        <w:pStyle w:val="Heading1"/>
      </w:pPr>
      <w:r>
        <w:t>Part C — Salaries (Sections 15-19)</w:t>
      </w:r>
    </w:p>
    <w:p>
      <w:r>
        <w:rPr>
          <w:b/>
          <w:color w:val="1F4E79"/>
        </w:rPr>
        <w:t>CIT v. L.W. Russel</w:t>
      </w:r>
    </w:p>
    <w:p>
      <w:r>
        <w:rPr>
          <w:i/>
          <w:sz w:val="20"/>
        </w:rPr>
        <w:t>(1964) 53 ITR 91 (SC)  |  Supreme Court | 1964</w:t>
      </w:r>
    </w:p>
    <w:p>
      <w:r>
        <w:rPr>
          <w:b/>
        </w:rPr>
        <w:t xml:space="preserve">Principle: </w:t>
      </w:r>
      <w:r>
        <w:t>Employer contribution to RPF is taxable in employee's hands only if exceeds prescribed limit; pension is taxable on receipt unless commuted.</w:t>
      </w:r>
    </w:p>
    <w:p>
      <w:r>
        <w:rPr>
          <w:b/>
        </w:rPr>
        <w:t xml:space="preserve">Use in app: </w:t>
      </w:r>
      <w:r>
        <w:t>Foundational for perquisite valuation under Sec 17(1)(h) — ₹7.5 lakh aggregate employer contribution threshold.</w:t>
      </w:r>
    </w:p>
    <w:p>
      <w:r>
        <w:rPr>
          <w:b/>
        </w:rPr>
        <w:t xml:space="preserve">Section mapping: </w:t>
      </w:r>
      <w:r>
        <w:t>Sec 17(1)(h) — old Sec 17(2)(vii)</w:t>
      </w:r>
    </w:p>
    <w:p/>
    <w:p>
      <w:r>
        <w:rPr>
          <w:b/>
          <w:color w:val="1F4E79"/>
        </w:rPr>
        <w:t>CIT v. Bhupinder Singh Atwal</w:t>
      </w:r>
    </w:p>
    <w:p>
      <w:r>
        <w:rPr>
          <w:i/>
          <w:sz w:val="20"/>
        </w:rPr>
        <w:t>(1981) 128 ITR 67 (P&amp;H)  |  Punjab &amp; Haryana HC | 1981</w:t>
      </w:r>
    </w:p>
    <w:p>
      <w:r>
        <w:rPr>
          <w:b/>
        </w:rPr>
        <w:t xml:space="preserve">Principle: </w:t>
      </w:r>
      <w:r>
        <w:t>Cash equivalent of leave salary, gratuity, retirement benefits — taxable only on actual receipt, not when entitlement accrues.</w:t>
      </w:r>
    </w:p>
    <w:p>
      <w:r>
        <w:rPr>
          <w:b/>
        </w:rPr>
        <w:t xml:space="preserve">Use in app: </w:t>
      </w:r>
      <w:r>
        <w:t>AI should follow receipt basis for retirement benefits; arrears use Sec 157 relief.</w:t>
      </w:r>
    </w:p>
    <w:p>
      <w:r>
        <w:rPr>
          <w:b/>
        </w:rPr>
        <w:t xml:space="preserve">Section mapping: </w:t>
      </w:r>
      <w:r>
        <w:t>Sec 19 / Sec 157 (relief for arrears)</w:t>
      </w:r>
    </w:p>
    <w:p/>
    <w:p>
      <w:r>
        <w:rPr>
          <w:b/>
          <w:color w:val="1F4E79"/>
        </w:rPr>
        <w:t>Karamchari Union v. Union of India</w:t>
      </w:r>
    </w:p>
    <w:p>
      <w:r>
        <w:rPr>
          <w:i/>
          <w:sz w:val="20"/>
        </w:rPr>
        <w:t>(2000) 243 ITR 143 (SC)  |  Supreme Court | 2000</w:t>
      </w:r>
    </w:p>
    <w:p>
      <w:r>
        <w:rPr>
          <w:b/>
        </w:rPr>
        <w:t xml:space="preserve">Principle: </w:t>
      </w:r>
      <w:r>
        <w:t>Conveyance allowance, transport allowance, daily allowance — exemption depends on actual expenditure incurred for the official purpose.</w:t>
      </w:r>
    </w:p>
    <w:p>
      <w:r>
        <w:rPr>
          <w:b/>
        </w:rPr>
        <w:t xml:space="preserve">Use in app: </w:t>
      </w:r>
      <w:r>
        <w:t>AI should ask user for actual usage proof when claiming these allowances under old regime (Schedule III).</w:t>
      </w:r>
    </w:p>
    <w:p>
      <w:r>
        <w:rPr>
          <w:b/>
        </w:rPr>
        <w:t xml:space="preserve">Section mapping: </w:t>
      </w:r>
      <w:r>
        <w:t>Schedule III (allowance exemptions) — old Sec 10(14)</w:t>
      </w:r>
    </w:p>
    <w:p/>
    <w:p>
      <w:r>
        <w:rPr>
          <w:b/>
          <w:color w:val="1F4E79"/>
        </w:rPr>
        <w:t>CIT v. P. Krishna Menon</w:t>
      </w:r>
    </w:p>
    <w:p>
      <w:r>
        <w:rPr>
          <w:i/>
          <w:sz w:val="20"/>
        </w:rPr>
        <w:t>(1959) 35 ITR 48 (SC)  |  Supreme Court | 1959</w:t>
      </w:r>
    </w:p>
    <w:p>
      <w:r>
        <w:rPr>
          <w:b/>
        </w:rPr>
        <w:t xml:space="preserve">Principle: </w:t>
      </w:r>
      <w:r>
        <w:t>Voluntary payments received by employee from employer in respect of past services = profits in lieu of salary, taxable.</w:t>
      </w:r>
    </w:p>
    <w:p>
      <w:r>
        <w:rPr>
          <w:b/>
        </w:rPr>
        <w:t xml:space="preserve">Use in app: </w:t>
      </w:r>
      <w:r>
        <w:t>AI must include ex-gratia from former employer as profits in lieu (Sec 18).</w:t>
      </w:r>
    </w:p>
    <w:p>
      <w:r>
        <w:rPr>
          <w:b/>
        </w:rPr>
        <w:t xml:space="preserve">Section mapping: </w:t>
      </w:r>
      <w:r>
        <w:t>Sec 18 — old Sec 17(3)</w:t>
      </w:r>
    </w:p>
    <w:p/>
    <w:p>
      <w:r>
        <w:rPr>
          <w:b/>
          <w:color w:val="1F4E79"/>
        </w:rPr>
        <w:t>CIT v. E.D. Sheppard</w:t>
      </w:r>
    </w:p>
    <w:p>
      <w:r>
        <w:rPr>
          <w:i/>
          <w:sz w:val="20"/>
        </w:rPr>
        <w:t>(1963) 48 ITR 237 (SC)  |  Supreme Court | 1963</w:t>
      </w:r>
    </w:p>
    <w:p>
      <w:r>
        <w:rPr>
          <w:b/>
        </w:rPr>
        <w:t xml:space="preserve">Principle: </w:t>
      </w:r>
      <w:r>
        <w:t>Compensation for loss of employment is capital receipt unless given for services rendered. Sec 17(3) (now Sec 18) brings into tax with carve-outs.</w:t>
      </w:r>
    </w:p>
    <w:p>
      <w:r>
        <w:rPr>
          <w:b/>
        </w:rPr>
        <w:t xml:space="preserve">Use in app: </w:t>
      </w:r>
      <w:r>
        <w:t>Foundational for VRS / termination compensation taxation under Sec 18 + Sec 19 (Sl.12 — ₹5,00,000 cap).</w:t>
      </w:r>
    </w:p>
    <w:p>
      <w:r>
        <w:rPr>
          <w:b/>
        </w:rPr>
        <w:t xml:space="preserve">Section mapping: </w:t>
      </w:r>
      <w:r>
        <w:t>Sec 18 / Sec 19(1) Sl.12</w:t>
      </w:r>
    </w:p>
    <w:p/>
    <w:p>
      <w:r>
        <w:rPr>
          <w:b/>
          <w:color w:val="1F4E79"/>
        </w:rPr>
        <w:t>Indian Hotels Co. Ltd. v. CIT</w:t>
      </w:r>
    </w:p>
    <w:p>
      <w:r>
        <w:rPr>
          <w:i/>
          <w:sz w:val="20"/>
        </w:rPr>
        <w:t>(2000) 245 ITR 538 (SC)  |  Supreme Court | 2000</w:t>
      </w:r>
    </w:p>
    <w:p>
      <w:r>
        <w:rPr>
          <w:b/>
        </w:rPr>
        <w:t xml:space="preserve">Principle: </w:t>
      </w:r>
      <w:r>
        <w:t>Service charge collected from customers and distributed to staff = salary in employee's hands.</w:t>
      </w:r>
    </w:p>
    <w:p>
      <w:r>
        <w:rPr>
          <w:b/>
        </w:rPr>
        <w:t xml:space="preserve">Use in app: </w:t>
      </w:r>
      <w:r>
        <w:t>AI must include hotel service-charge tips in salary income for hospitality workers.</w:t>
      </w:r>
    </w:p>
    <w:p>
      <w:r>
        <w:rPr>
          <w:b/>
        </w:rPr>
        <w:t xml:space="preserve">Section mapping: </w:t>
      </w:r>
      <w:r>
        <w:t>Sec 16 (definition of salary)</w:t>
      </w:r>
    </w:p>
    <w:p/>
    <w:p>
      <w:r>
        <w:rPr>
          <w:b/>
          <w:color w:val="1F4E79"/>
        </w:rPr>
        <w:t>CIT v. Dr. R.S. Bohra</w:t>
      </w:r>
    </w:p>
    <w:p>
      <w:r>
        <w:rPr>
          <w:i/>
          <w:sz w:val="20"/>
        </w:rPr>
        <w:t>(1990) 186 ITR 619 (Raj)  |  Rajasthan HC | 1990</w:t>
      </w:r>
    </w:p>
    <w:p>
      <w:r>
        <w:rPr>
          <w:b/>
        </w:rPr>
        <w:t xml:space="preserve">Principle: </w:t>
      </w:r>
      <w:r>
        <w:t>Free residential accommodation provided to doctor by hospital trust = perquisite valued per Rule 3.</w:t>
      </w:r>
    </w:p>
    <w:p>
      <w:r>
        <w:rPr>
          <w:b/>
        </w:rPr>
        <w:t xml:space="preserve">Use in app: </w:t>
      </w:r>
      <w:r>
        <w:t>AI uses prescribed valuation rules for accommodation perquisite (Sec 17(1)(a)/(b)).</w:t>
      </w:r>
    </w:p>
    <w:p>
      <w:r>
        <w:rPr>
          <w:b/>
        </w:rPr>
        <w:t xml:space="preserve">Section mapping: </w:t>
      </w:r>
      <w:r>
        <w:t>Sec 17(1)(a)/(b)</w:t>
      </w:r>
    </w:p>
    <w:p/>
    <w:p>
      <w:r>
        <w:br w:type="page"/>
      </w:r>
    </w:p>
    <w:p>
      <w:pPr>
        <w:pStyle w:val="Heading1"/>
      </w:pPr>
      <w:r>
        <w:t>Part D — Income from House Property (Sections 20-25)</w:t>
      </w:r>
    </w:p>
    <w:p>
      <w:r>
        <w:rPr>
          <w:b/>
          <w:color w:val="1F4E79"/>
        </w:rPr>
        <w:t>CIT v. Maddi Sudarsanam Oil Mills Co.</w:t>
      </w:r>
    </w:p>
    <w:p>
      <w:r>
        <w:rPr>
          <w:i/>
          <w:sz w:val="20"/>
        </w:rPr>
        <w:t>(1959) 37 ITR 369 (AP)  |  Andhra Pradesh HC | 1959</w:t>
      </w:r>
    </w:p>
    <w:p>
      <w:r>
        <w:rPr>
          <w:b/>
        </w:rPr>
        <w:t xml:space="preserve">Principle: </w:t>
      </w:r>
      <w:r>
        <w:t>Annual value = sum for which property might reasonably be expected to let. Municipal valuation, comparable rent, standard rent under rent control all relevant.</w:t>
      </w:r>
    </w:p>
    <w:p>
      <w:r>
        <w:rPr>
          <w:b/>
        </w:rPr>
        <w:t xml:space="preserve">Use in app: </w:t>
      </w:r>
      <w:r>
        <w:t>AI uses higher of: municipal value, fair rent, standard rent, actual rent (if let).</w:t>
      </w:r>
    </w:p>
    <w:p>
      <w:r>
        <w:rPr>
          <w:b/>
        </w:rPr>
        <w:t xml:space="preserve">Section mapping: </w:t>
      </w:r>
      <w:r>
        <w:t>Sec 21(1) — old Sec 23(1)</w:t>
      </w:r>
    </w:p>
    <w:p/>
    <w:p>
      <w:r>
        <w:rPr>
          <w:b/>
          <w:color w:val="1F4E79"/>
        </w:rPr>
        <w:t>CIT v. Podar Cement Pvt. Ltd.</w:t>
      </w:r>
    </w:p>
    <w:p>
      <w:r>
        <w:rPr>
          <w:i/>
          <w:sz w:val="20"/>
        </w:rPr>
        <w:t>(1997) 226 ITR 625 (SC)  |  Supreme Court | 1997</w:t>
      </w:r>
    </w:p>
    <w:p>
      <w:r>
        <w:rPr>
          <w:b/>
        </w:rPr>
        <w:t xml:space="preserve">Principle: </w:t>
      </w:r>
      <w:r>
        <w:t>Beneficial owner is taxable for HP income, even if legal title not perfected. Possession + payment + enjoyment = ownership for HP purposes.</w:t>
      </w:r>
    </w:p>
    <w:p>
      <w:r>
        <w:rPr>
          <w:b/>
        </w:rPr>
        <w:t xml:space="preserve">Use in app: </w:t>
      </w:r>
      <w:r>
        <w:t>AI should treat user as 'owner' if they have effective ownership rights, even pending registration.</w:t>
      </w:r>
    </w:p>
    <w:p>
      <w:r>
        <w:rPr>
          <w:b/>
        </w:rPr>
        <w:t xml:space="preserve">Section mapping: </w:t>
      </w:r>
      <w:r>
        <w:t>Sec 25 (definition of owner) — old Sec 27</w:t>
      </w:r>
    </w:p>
    <w:p/>
    <w:p>
      <w:r>
        <w:rPr>
          <w:b/>
          <w:color w:val="1F4E79"/>
        </w:rPr>
        <w:t>Suman Khaitan v. CIT</w:t>
      </w:r>
    </w:p>
    <w:p>
      <w:r>
        <w:rPr>
          <w:i/>
          <w:sz w:val="20"/>
        </w:rPr>
        <w:t>(2010) 320 ITR 405 (Cal)  |  Calcutta HC | 2010</w:t>
      </w:r>
    </w:p>
    <w:p>
      <w:r>
        <w:rPr>
          <w:b/>
        </w:rPr>
        <w:t xml:space="preserve">Principle: </w:t>
      </w:r>
      <w:r>
        <w:t>Pre-construction interest on housing loan deductible in 5 equal installments from year of completion.</w:t>
      </w:r>
    </w:p>
    <w:p>
      <w:r>
        <w:rPr>
          <w:b/>
        </w:rPr>
        <w:t xml:space="preserve">Use in app: </w:t>
      </w:r>
      <w:r>
        <w:t>AI computes 1/5th deduction starting from completion year for Sec 22(1)(c).</w:t>
      </w:r>
    </w:p>
    <w:p>
      <w:r>
        <w:rPr>
          <w:b/>
        </w:rPr>
        <w:t xml:space="preserve">Section mapping: </w:t>
      </w:r>
      <w:r>
        <w:t>Sec 22(1)(c) — old Sec 24(b)</w:t>
      </w:r>
    </w:p>
    <w:p/>
    <w:p>
      <w:r>
        <w:rPr>
          <w:b/>
          <w:color w:val="1F4E79"/>
        </w:rPr>
        <w:t>Bhagwan Dass Jain v. Union of India</w:t>
      </w:r>
    </w:p>
    <w:p>
      <w:r>
        <w:rPr>
          <w:i/>
          <w:sz w:val="20"/>
        </w:rPr>
        <w:t>(1981) 128 ITR 315 (SC)  |  Supreme Court | 1981</w:t>
      </w:r>
    </w:p>
    <w:p>
      <w:r>
        <w:rPr>
          <w:b/>
        </w:rPr>
        <w:t xml:space="preserve">Principle: </w:t>
      </w:r>
      <w:r>
        <w:t>Self-occupied house: notional rent constitutional. (Now: NIL annual value under Sec 21(6).)</w:t>
      </w:r>
    </w:p>
    <w:p>
      <w:r>
        <w:rPr>
          <w:b/>
        </w:rPr>
        <w:t xml:space="preserve">Use in app: </w:t>
      </w:r>
      <w:r>
        <w:t>Foundational principle — now superseded by NIL annual value treatment for two SOPs.</w:t>
      </w:r>
    </w:p>
    <w:p>
      <w:r>
        <w:rPr>
          <w:b/>
        </w:rPr>
        <w:t xml:space="preserve">Section mapping: </w:t>
      </w:r>
      <w:r>
        <w:t>Sec 21(6) — old Sec 23(2)</w:t>
      </w:r>
    </w:p>
    <w:p/>
    <w:p>
      <w:r>
        <w:rPr>
          <w:b/>
          <w:color w:val="1F4E79"/>
        </w:rPr>
        <w:t>CIT v. Sun Engineering Works (P) Ltd.</w:t>
      </w:r>
    </w:p>
    <w:p>
      <w:r>
        <w:rPr>
          <w:i/>
          <w:sz w:val="20"/>
        </w:rPr>
        <w:t>(1992) 198 ITR 297 (SC)  |  Supreme Court | 1992</w:t>
      </w:r>
    </w:p>
    <w:p>
      <w:r>
        <w:rPr>
          <w:b/>
        </w:rPr>
        <w:t xml:space="preserve">Principle: </w:t>
      </w:r>
      <w:r>
        <w:t>Reassessment u/s 147: scope limited to escapement that was the reason for reopening. Not a fresh assessment.</w:t>
      </w:r>
    </w:p>
    <w:p>
      <w:r>
        <w:rPr>
          <w:b/>
        </w:rPr>
        <w:t xml:space="preserve">Use in app: </w:t>
      </w:r>
      <w:r>
        <w:t>Important procedural safeguard — applies to reassessment under Sec 279 of 2025 Act.</w:t>
      </w:r>
    </w:p>
    <w:p>
      <w:r>
        <w:rPr>
          <w:b/>
        </w:rPr>
        <w:t xml:space="preserve">Section mapping: </w:t>
      </w:r>
      <w:r>
        <w:t>Sec 279 — old Sec 147</w:t>
      </w:r>
    </w:p>
    <w:p/>
    <w:p>
      <w:r>
        <w:br w:type="page"/>
      </w:r>
    </w:p>
    <w:p>
      <w:pPr>
        <w:pStyle w:val="Heading1"/>
      </w:pPr>
      <w:r>
        <w:t>Part E — Profits and Gains of Business or Profession (Sections 26-66)</w:t>
      </w:r>
    </w:p>
    <w:p>
      <w:pPr>
        <w:pStyle w:val="Heading2"/>
      </w:pPr>
      <w:r>
        <w:t>E.1 Income vs not income</w:t>
      </w:r>
    </w:p>
    <w:p>
      <w:r>
        <w:rPr>
          <w:b/>
          <w:color w:val="1F4E79"/>
        </w:rPr>
        <w:t>CIT v. P.J. Chemicals Ltd.</w:t>
      </w:r>
    </w:p>
    <w:p>
      <w:r>
        <w:rPr>
          <w:i/>
          <w:sz w:val="20"/>
        </w:rPr>
        <w:t>(1994) 210 ITR 830 (SC)  |  Supreme Court | 1994</w:t>
      </w:r>
    </w:p>
    <w:p>
      <w:r>
        <w:rPr>
          <w:b/>
        </w:rPr>
        <w:t xml:space="preserve">Principle: </w:t>
      </w:r>
      <w:r>
        <w:t>Government subsidy received post-acquisition that is not connected to fixed asset cost = capital receipt, not deductible from cost.</w:t>
      </w:r>
    </w:p>
    <w:p>
      <w:r>
        <w:rPr>
          <w:b/>
        </w:rPr>
        <w:t xml:space="preserve">Use in app: </w:t>
      </w:r>
      <w:r>
        <w:t>AI should distinguish: subsidy linked to asset cost reduces actual cost (Sec 39); subsidy as incentive may be capital receipt.</w:t>
      </w:r>
    </w:p>
    <w:p>
      <w:r>
        <w:rPr>
          <w:b/>
        </w:rPr>
        <w:t xml:space="preserve">Section mapping: </w:t>
      </w:r>
      <w:r>
        <w:t>Sec 39 / Sec 49 (income definition) — Sec 2(49)(w)</w:t>
      </w:r>
    </w:p>
    <w:p/>
    <w:p>
      <w:r>
        <w:rPr>
          <w:b/>
          <w:color w:val="1F4E79"/>
        </w:rPr>
        <w:t>Sahney Steel &amp; Press Works Ltd. v. CIT</w:t>
      </w:r>
    </w:p>
    <w:p>
      <w:r>
        <w:rPr>
          <w:i/>
          <w:sz w:val="20"/>
        </w:rPr>
        <w:t>(1997) 228 ITR 253 (SC)  |  Supreme Court | 1997</w:t>
      </w:r>
    </w:p>
    <w:p>
      <w:r>
        <w:rPr>
          <w:b/>
        </w:rPr>
        <w:t xml:space="preserve">Principle: </w:t>
      </w:r>
      <w:r>
        <w:t>PURPOSE test for subsidy: if purpose is to enable assessee to start/setup business = capital; if for running business = revenue. Look at WHY subsidy was given, not when received.</w:t>
      </w:r>
    </w:p>
    <w:p>
      <w:r>
        <w:rPr>
          <w:b/>
        </w:rPr>
        <w:t xml:space="preserve">Use in app: </w:t>
      </w:r>
      <w:r>
        <w:t>Foundational test — AI applies purpose-of-subsidy test for Sec 2(49)(w) classification.</w:t>
      </w:r>
    </w:p>
    <w:p>
      <w:r>
        <w:rPr>
          <w:b/>
        </w:rPr>
        <w:t xml:space="preserve">Section mapping: </w:t>
      </w:r>
      <w:r>
        <w:t>Sec 2(49)(w) (subsidy as income)</w:t>
      </w:r>
    </w:p>
    <w:p/>
    <w:p>
      <w:r>
        <w:rPr>
          <w:b/>
          <w:color w:val="1F4E79"/>
        </w:rPr>
        <w:t>Ponni Sugars and Chemicals Ltd. v. CIT</w:t>
      </w:r>
    </w:p>
    <w:p>
      <w:r>
        <w:rPr>
          <w:i/>
          <w:sz w:val="20"/>
        </w:rPr>
        <w:t>(2008) 306 ITR 392 (SC)  |  Supreme Court | 2008</w:t>
      </w:r>
    </w:p>
    <w:p>
      <w:r>
        <w:rPr>
          <w:b/>
        </w:rPr>
        <w:t xml:space="preserve">Principle: </w:t>
      </w:r>
      <w:r>
        <w:t>Subsidy for setting up sugar mill in backward area = capital receipt (purpose test). Not income.</w:t>
      </w:r>
    </w:p>
    <w:p>
      <w:r>
        <w:rPr>
          <w:b/>
        </w:rPr>
        <w:t xml:space="preserve">Use in app: </w:t>
      </w:r>
      <w:r>
        <w:t>Reaffirms Sahney Steel; AI uses for capital subsidies for plant setup.</w:t>
      </w:r>
    </w:p>
    <w:p>
      <w:r>
        <w:rPr>
          <w:b/>
        </w:rPr>
        <w:t xml:space="preserve">Section mapping: </w:t>
      </w:r>
      <w:r>
        <w:t>Sec 2(49)(w)</w:t>
      </w:r>
    </w:p>
    <w:p/>
    <w:p>
      <w:r>
        <w:rPr>
          <w:b/>
          <w:color w:val="1F4E79"/>
        </w:rPr>
        <w:t>CIT v. Bharti Cellular Ltd.</w:t>
      </w:r>
    </w:p>
    <w:p>
      <w:r>
        <w:rPr>
          <w:i/>
          <w:sz w:val="20"/>
        </w:rPr>
        <w:t>(2011) 330 ITR 239 (SC)  |  Supreme Court | 2011</w:t>
      </w:r>
    </w:p>
    <w:p>
      <w:r>
        <w:rPr>
          <w:b/>
        </w:rPr>
        <w:t xml:space="preserve">Principle: </w:t>
      </w:r>
      <w:r>
        <w:t>Interconnect charges to BSNL = NOT FTS (no human element). Use of equipment ≠ technical services.</w:t>
      </w:r>
    </w:p>
    <w:p>
      <w:r>
        <w:rPr>
          <w:b/>
        </w:rPr>
        <w:t xml:space="preserve">Use in app: </w:t>
      </w:r>
      <w:r>
        <w:t>AI must apply 'human element' test for FTS classification. Per-use equipment fees often not FTS.</w:t>
      </w:r>
    </w:p>
    <w:p>
      <w:r>
        <w:rPr>
          <w:b/>
        </w:rPr>
        <w:t xml:space="preserve">Section mapping: </w:t>
      </w:r>
      <w:r>
        <w:t>Sec 9(7) (FTS)</w:t>
      </w:r>
    </w:p>
    <w:p/>
    <w:p>
      <w:pPr>
        <w:pStyle w:val="Heading2"/>
      </w:pPr>
      <w:r>
        <w:t>E.2 Allowability of expenditure</w:t>
      </w:r>
    </w:p>
    <w:p>
      <w:r>
        <w:rPr>
          <w:b/>
          <w:color w:val="1F4E79"/>
        </w:rPr>
        <w:t>CIT v. Walchand &amp; Co.</w:t>
      </w:r>
    </w:p>
    <w:p>
      <w:r>
        <w:rPr>
          <w:i/>
          <w:sz w:val="20"/>
        </w:rPr>
        <w:t>(1967) 65 ITR 381 (SC)  |  Supreme Court | 1967</w:t>
      </w:r>
    </w:p>
    <w:p>
      <w:r>
        <w:rPr>
          <w:b/>
        </w:rPr>
        <w:t xml:space="preserve">Principle: </w:t>
      </w:r>
      <w:r>
        <w:t>Reasonableness of expenditure judged from businessman's perspective. AO cannot substitute his own opinion for that of the businessman.</w:t>
      </w:r>
    </w:p>
    <w:p>
      <w:r>
        <w:rPr>
          <w:b/>
        </w:rPr>
        <w:t xml:space="preserve">Use in app: </w:t>
      </w:r>
      <w:r>
        <w:t>AI should not flag expenses as 'unreasonable' unless they fall under Sec 36 (related party excessive payments).</w:t>
      </w:r>
    </w:p>
    <w:p>
      <w:r>
        <w:rPr>
          <w:b/>
        </w:rPr>
        <w:t xml:space="preserve">Section mapping: </w:t>
      </w:r>
      <w:r>
        <w:t>Sec 34 / 36</w:t>
      </w:r>
    </w:p>
    <w:p/>
    <w:p>
      <w:r>
        <w:rPr>
          <w:b/>
          <w:color w:val="1F4E79"/>
        </w:rPr>
        <w:t>CIT v. Indian Aluminium Co. Ltd.</w:t>
      </w:r>
    </w:p>
    <w:p>
      <w:r>
        <w:rPr>
          <w:i/>
          <w:sz w:val="20"/>
        </w:rPr>
        <w:t>(1971) 79 ITR 514 (SC)  |  Supreme Court | 1971</w:t>
      </w:r>
    </w:p>
    <w:p>
      <w:r>
        <w:rPr>
          <w:b/>
        </w:rPr>
        <w:t xml:space="preserve">Principle: </w:t>
      </w:r>
      <w:r>
        <w:t>Travelling allowance to wife of director attending business functions = business expenditure if necessary for business.</w:t>
      </w:r>
    </w:p>
    <w:p>
      <w:r>
        <w:rPr>
          <w:b/>
        </w:rPr>
        <w:t xml:space="preserve">Use in app: </w:t>
      </w:r>
      <w:r>
        <w:t>AI: spousal travel can be deductible if business-related. Document business purpose.</w:t>
      </w:r>
    </w:p>
    <w:p>
      <w:r>
        <w:rPr>
          <w:b/>
        </w:rPr>
        <w:t xml:space="preserve">Section mapping: </w:t>
      </w:r>
      <w:r>
        <w:t>Sec 34</w:t>
      </w:r>
    </w:p>
    <w:p/>
    <w:p>
      <w:r>
        <w:rPr>
          <w:b/>
          <w:color w:val="1F4E79"/>
        </w:rPr>
        <w:t>Eastern Investments Ltd. v. CIT</w:t>
      </w:r>
    </w:p>
    <w:p>
      <w:r>
        <w:rPr>
          <w:i/>
          <w:sz w:val="20"/>
        </w:rPr>
        <w:t>(1951) 20 ITR 1 (SC)  |  Supreme Court | 1951</w:t>
      </w:r>
    </w:p>
    <w:p>
      <w:r>
        <w:rPr>
          <w:b/>
        </w:rPr>
        <w:t xml:space="preserve">Principle: </w:t>
      </w:r>
      <w:r>
        <w:t>Interest on funds borrowed for taxable income earning is deductible — even if borrowing is from related party.</w:t>
      </w:r>
    </w:p>
    <w:p>
      <w:r>
        <w:rPr>
          <w:b/>
        </w:rPr>
        <w:t xml:space="preserve">Use in app: </w:t>
      </w:r>
      <w:r>
        <w:t>AI should allow interest on loans used for taxable business / income earning — subject to Sec 36 reasonableness.</w:t>
      </w:r>
    </w:p>
    <w:p>
      <w:r>
        <w:rPr>
          <w:b/>
        </w:rPr>
        <w:t xml:space="preserve">Section mapping: </w:t>
      </w:r>
      <w:r>
        <w:t>Sec 32(b) — old Sec 36(1)(iii)</w:t>
      </w:r>
    </w:p>
    <w:p/>
    <w:p>
      <w:r>
        <w:rPr>
          <w:b/>
          <w:color w:val="1F4E79"/>
        </w:rPr>
        <w:t>CIT v. Mahalakshmi Textile Mills</w:t>
      </w:r>
    </w:p>
    <w:p>
      <w:r>
        <w:rPr>
          <w:i/>
          <w:sz w:val="20"/>
        </w:rPr>
        <w:t>(1967) 66 ITR 710 (SC)  |  Supreme Court | 1967</w:t>
      </w:r>
    </w:p>
    <w:p>
      <w:r>
        <w:rPr>
          <w:b/>
        </w:rPr>
        <w:t xml:space="preserve">Principle: </w:t>
      </w:r>
      <w:r>
        <w:t>Cost of replacing old looms with new = revenue expenditure (current repair); not capital.</w:t>
      </w:r>
    </w:p>
    <w:p>
      <w:r>
        <w:rPr>
          <w:b/>
        </w:rPr>
        <w:t xml:space="preserve">Use in app: </w:t>
      </w:r>
      <w:r>
        <w:t>AI: machinery replacement that maintains capacity = revenue; that increases capacity = capital.</w:t>
      </w:r>
    </w:p>
    <w:p>
      <w:r>
        <w:rPr>
          <w:b/>
        </w:rPr>
        <w:t xml:space="preserve">Section mapping: </w:t>
      </w:r>
      <w:r>
        <w:t>Sec 28(1)(f)</w:t>
      </w:r>
    </w:p>
    <w:p/>
    <w:p>
      <w:r>
        <w:rPr>
          <w:b/>
          <w:color w:val="1F4E79"/>
        </w:rPr>
        <w:t>Madras Auto Service (P) Ltd. v. CIT</w:t>
      </w:r>
    </w:p>
    <w:p>
      <w:r>
        <w:rPr>
          <w:i/>
          <w:sz w:val="20"/>
        </w:rPr>
        <w:t>(1998) 233 ITR 468 (SC)  |  Supreme Court | 1998</w:t>
      </w:r>
    </w:p>
    <w:p>
      <w:r>
        <w:rPr>
          <w:b/>
        </w:rPr>
        <w:t xml:space="preserve">Principle: </w:t>
      </w:r>
      <w:r>
        <w:t>Lessee's expenditure on substantial improvement to leased premises = revenue expenditure if intended to facilitate business operations, not enduring asset for lessee.</w:t>
      </w:r>
    </w:p>
    <w:p>
      <w:r>
        <w:rPr>
          <w:b/>
        </w:rPr>
        <w:t xml:space="preserve">Use in app: </w:t>
      </w:r>
      <w:r>
        <w:t>Important for office fit-out / leasehold improvement deductions.</w:t>
      </w:r>
    </w:p>
    <w:p>
      <w:r>
        <w:rPr>
          <w:b/>
        </w:rPr>
        <w:t xml:space="preserve">Section mapping: </w:t>
      </w:r>
      <w:r>
        <w:t>Sec 28 / Sec 33(6) (lessee improvements)</w:t>
      </w:r>
    </w:p>
    <w:p/>
    <w:p>
      <w:r>
        <w:rPr>
          <w:b/>
          <w:color w:val="1F4E79"/>
        </w:rPr>
        <w:t>ACIT v. Tata Consultancy Services</w:t>
      </w:r>
    </w:p>
    <w:p>
      <w:r>
        <w:rPr>
          <w:i/>
          <w:sz w:val="20"/>
        </w:rPr>
        <w:t>(2014) 367 ITR 117 (SC)  |  Supreme Court | 2014</w:t>
      </w:r>
    </w:p>
    <w:p>
      <w:r>
        <w:rPr>
          <w:b/>
        </w:rPr>
        <w:t xml:space="preserve">Principle: </w:t>
      </w:r>
      <w:r>
        <w:t>Foreign currency expenses incurred for export of software outside India deductible from export turnover for 10A/10AA computation.</w:t>
      </w:r>
    </w:p>
    <w:p>
      <w:r>
        <w:rPr>
          <w:b/>
        </w:rPr>
        <w:t xml:space="preserve">Use in app: </w:t>
      </w:r>
      <w:r>
        <w:t>Important for IT/ITES export computation under Sec 144 (10AA equivalent).</w:t>
      </w:r>
    </w:p>
    <w:p>
      <w:r>
        <w:rPr>
          <w:b/>
        </w:rPr>
        <w:t xml:space="preserve">Section mapping: </w:t>
      </w:r>
      <w:r>
        <w:t>Sec 144 (10AA)</w:t>
      </w:r>
    </w:p>
    <w:p/>
    <w:p>
      <w:r>
        <w:rPr>
          <w:b/>
          <w:color w:val="1F4E79"/>
        </w:rPr>
        <w:t>Goetze (India) Ltd. v. CIT</w:t>
      </w:r>
    </w:p>
    <w:p>
      <w:r>
        <w:rPr>
          <w:i/>
          <w:sz w:val="20"/>
        </w:rPr>
        <w:t>(2006) 284 ITR 323 (SC)  |  Supreme Court | 2006</w:t>
      </w:r>
    </w:p>
    <w:p>
      <w:r>
        <w:rPr>
          <w:b/>
        </w:rPr>
        <w:t xml:space="preserve">Principle: </w:t>
      </w:r>
      <w:r>
        <w:t>Claim of deduction not made in original/revised return cannot be entertained by AO. But appellate authority can entertain new claim.</w:t>
      </w:r>
    </w:p>
    <w:p>
      <w:r>
        <w:rPr>
          <w:b/>
        </w:rPr>
        <w:t xml:space="preserve">Use in app: </w:t>
      </w:r>
      <w:r>
        <w:t>AI: must include all deductions in original return; cannot be claimed first-time during scrutiny. Use Sec 263(5) revised return option.</w:t>
      </w:r>
    </w:p>
    <w:p>
      <w:r>
        <w:rPr>
          <w:b/>
        </w:rPr>
        <w:t xml:space="preserve">Section mapping: </w:t>
      </w:r>
      <w:r>
        <w:t>Sec 263 (returns)</w:t>
      </w:r>
    </w:p>
    <w:p/>
    <w:p>
      <w:pPr>
        <w:pStyle w:val="Heading2"/>
      </w:pPr>
      <w:r>
        <w:t>E.3 Depreciation (Sec 33)</w:t>
      </w:r>
    </w:p>
    <w:p>
      <w:r>
        <w:rPr>
          <w:b/>
          <w:color w:val="1F4E79"/>
        </w:rPr>
        <w:t>CIT v. Mahendra Mills</w:t>
      </w:r>
    </w:p>
    <w:p>
      <w:r>
        <w:rPr>
          <w:i/>
          <w:sz w:val="20"/>
        </w:rPr>
        <w:t>(2000) 243 ITR 56 (SC)  |  Supreme Court | 2000</w:t>
      </w:r>
    </w:p>
    <w:p>
      <w:r>
        <w:rPr>
          <w:b/>
        </w:rPr>
        <w:t xml:space="preserve">Principle: </w:t>
      </w:r>
      <w:r>
        <w:t>Depreciation is a deduction at the option of assessee; cannot be forced upon assessee. (Now overridden by Sec 33(7) — depreciation deemed allowed whether claimed or not.)</w:t>
      </w:r>
    </w:p>
    <w:p>
      <w:r>
        <w:rPr>
          <w:b/>
        </w:rPr>
        <w:t xml:space="preserve">Use in app: </w:t>
      </w:r>
      <w:r>
        <w:t>AI: under 2025 Act, depreciation MUST be allowed irrespective of claim. Mahendra Mills no longer applicable.</w:t>
      </w:r>
    </w:p>
    <w:p>
      <w:r>
        <w:rPr>
          <w:b/>
        </w:rPr>
        <w:t xml:space="preserve">Section mapping: </w:t>
      </w:r>
      <w:r>
        <w:t>Sec 33(7) — old Sec 32 Explanation 5</w:t>
      </w:r>
    </w:p>
    <w:p/>
    <w:p>
      <w:r>
        <w:rPr>
          <w:b/>
          <w:color w:val="1F4E79"/>
        </w:rPr>
        <w:t>I.C.I. India Ltd. v. CIT</w:t>
      </w:r>
    </w:p>
    <w:p>
      <w:r>
        <w:rPr>
          <w:i/>
          <w:sz w:val="20"/>
        </w:rPr>
        <w:t>(2017) 393 ITR 88 (SC)  |  Supreme Court | 2017</w:t>
      </w:r>
    </w:p>
    <w:p>
      <w:r>
        <w:rPr>
          <w:b/>
        </w:rPr>
        <w:t xml:space="preserve">Principle: </w:t>
      </w:r>
      <w:r>
        <w:t>Goodwill arising from amalgamation eligible for depreciation as 'any other business or commercial right of similar nature'.</w:t>
      </w:r>
    </w:p>
    <w:p>
      <w:r>
        <w:rPr>
          <w:b/>
        </w:rPr>
        <w:t xml:space="preserve">Use in app: </w:t>
      </w:r>
      <w:r>
        <w:t>Note: Now overridden by FA 2021 — goodwill of business or profession EXPRESSLY EXCLUDED from depreciable assets under Sec 33(12)(a).</w:t>
      </w:r>
    </w:p>
    <w:p>
      <w:r>
        <w:rPr>
          <w:b/>
        </w:rPr>
        <w:t xml:space="preserve">Section mapping: </w:t>
      </w:r>
      <w:r>
        <w:t>Sec 33 (depreciation, goodwill exclusion)</w:t>
      </w:r>
    </w:p>
    <w:p/>
    <w:p>
      <w:r>
        <w:rPr>
          <w:b/>
          <w:color w:val="1F4E79"/>
        </w:rPr>
        <w:t>Sub-Continental Trading Co. v. CIT</w:t>
      </w:r>
    </w:p>
    <w:p>
      <w:r>
        <w:rPr>
          <w:i/>
          <w:sz w:val="20"/>
        </w:rPr>
        <w:t>(1981) 130 ITR 729 (Cal)  |  Calcutta HC | 1981</w:t>
      </w:r>
    </w:p>
    <w:p>
      <w:r>
        <w:rPr>
          <w:b/>
        </w:rPr>
        <w:t xml:space="preserve">Principle: </w:t>
      </w:r>
      <w:r>
        <w:t>WDV computation for block of assets — additions and deletions during year per Sec 41(1)(c) formula [(A-D) + B - C].</w:t>
      </w:r>
    </w:p>
    <w:p>
      <w:r>
        <w:rPr>
          <w:b/>
        </w:rPr>
        <w:t xml:space="preserve">Use in app: </w:t>
      </w:r>
      <w:r>
        <w:t>Foundational for AI's block-of-assets computation engine.</w:t>
      </w:r>
    </w:p>
    <w:p>
      <w:r>
        <w:rPr>
          <w:b/>
        </w:rPr>
        <w:t xml:space="preserve">Section mapping: </w:t>
      </w:r>
      <w:r>
        <w:t>Sec 41(1)(c) — old Sec 43(6)</w:t>
      </w:r>
    </w:p>
    <w:p/>
    <w:p>
      <w:pPr>
        <w:pStyle w:val="Heading2"/>
      </w:pPr>
      <w:r>
        <w:t>E.4 Bad debts / specific provisions</w:t>
      </w:r>
    </w:p>
    <w:p>
      <w:r>
        <w:rPr>
          <w:b/>
          <w:color w:val="1F4E79"/>
        </w:rPr>
        <w:t>TRF Limited v. CIT</w:t>
      </w:r>
    </w:p>
    <w:p>
      <w:r>
        <w:rPr>
          <w:i/>
          <w:sz w:val="20"/>
        </w:rPr>
        <w:t>(2010) 323 ITR 397 (SC)  |  Supreme Court | 2010</w:t>
      </w:r>
    </w:p>
    <w:p>
      <w:r>
        <w:rPr>
          <w:b/>
        </w:rPr>
        <w:t xml:space="preserve">Principle: </w:t>
      </w:r>
      <w:r>
        <w:t>Post-1989, write-off in books is sufficient — assessee not required to establish that debt is irrecoverable.</w:t>
      </w:r>
    </w:p>
    <w:p>
      <w:r>
        <w:rPr>
          <w:b/>
        </w:rPr>
        <w:t xml:space="preserve">Use in app: </w:t>
      </w:r>
      <w:r>
        <w:t>AI: bad debt deduction allowed merely on book write-off + earlier inclusion in income. No proof of irrecoverability needed.</w:t>
      </w:r>
    </w:p>
    <w:p>
      <w:r>
        <w:rPr>
          <w:b/>
        </w:rPr>
        <w:t xml:space="preserve">Section mapping: </w:t>
      </w:r>
      <w:r>
        <w:t>Sec 31(2) — old Sec 36(1)(vii)</w:t>
      </w:r>
    </w:p>
    <w:p/>
    <w:p>
      <w:r>
        <w:rPr>
          <w:b/>
          <w:color w:val="1F4E79"/>
        </w:rPr>
        <w:t>Vijaya Bank v. CIT</w:t>
      </w:r>
    </w:p>
    <w:p>
      <w:r>
        <w:rPr>
          <w:i/>
          <w:sz w:val="20"/>
        </w:rPr>
        <w:t>(2010) 323 ITR 166 (SC)  |  Supreme Court | 2010</w:t>
      </w:r>
    </w:p>
    <w:p>
      <w:r>
        <w:rPr>
          <w:b/>
        </w:rPr>
        <w:t xml:space="preserve">Principle: </w:t>
      </w:r>
      <w:r>
        <w:t>Even if bad debt isn't 'reduced from individual customer accounts' but only debited to provision account, write-off requirement met.</w:t>
      </w:r>
    </w:p>
    <w:p>
      <w:r>
        <w:rPr>
          <w:b/>
        </w:rPr>
        <w:t xml:space="preserve">Use in app: </w:t>
      </w:r>
      <w:r>
        <w:t>AI: doesn't require individual ledger reduction for banks.</w:t>
      </w:r>
    </w:p>
    <w:p>
      <w:r>
        <w:rPr>
          <w:b/>
        </w:rPr>
        <w:t xml:space="preserve">Section mapping: </w:t>
      </w:r>
      <w:r>
        <w:t>Sec 31 / Sec 41</w:t>
      </w:r>
    </w:p>
    <w:p/>
    <w:p>
      <w:pPr>
        <w:pStyle w:val="Heading2"/>
      </w:pPr>
      <w:r>
        <w:t>E.5 Presumptive taxation</w:t>
      </w:r>
    </w:p>
    <w:p>
      <w:r>
        <w:rPr>
          <w:b/>
          <w:color w:val="1F4E79"/>
        </w:rPr>
        <w:t>CIT v. Punjab Stainless Steel Industries</w:t>
      </w:r>
    </w:p>
    <w:p>
      <w:r>
        <w:rPr>
          <w:i/>
          <w:sz w:val="20"/>
        </w:rPr>
        <w:t>(2014) 364 ITR 144 (SC)  |  Supreme Court | 2014</w:t>
      </w:r>
    </w:p>
    <w:p>
      <w:r>
        <w:rPr>
          <w:b/>
        </w:rPr>
        <w:t xml:space="preserve">Principle: </w:t>
      </w:r>
      <w:r>
        <w:t>Sale of scrap unrelated to manufacturing turnover NOT to be included in 'turnover' for export incentive computation.</w:t>
      </w:r>
    </w:p>
    <w:p>
      <w:r>
        <w:rPr>
          <w:b/>
        </w:rPr>
        <w:t xml:space="preserve">Use in app: </w:t>
      </w:r>
      <w:r>
        <w:t>Useful for AI when computing 'turnover' under Sec 58 presumptive thresholds.</w:t>
      </w:r>
    </w:p>
    <w:p>
      <w:r>
        <w:rPr>
          <w:b/>
        </w:rPr>
        <w:t xml:space="preserve">Section mapping: </w:t>
      </w:r>
      <w:r>
        <w:t>Sec 58</w:t>
      </w:r>
    </w:p>
    <w:p/>
    <w:p>
      <w:r>
        <w:br w:type="page"/>
      </w:r>
    </w:p>
    <w:p>
      <w:pPr>
        <w:pStyle w:val="Heading1"/>
      </w:pPr>
      <w:r>
        <w:t>Part F — Capital Gains (Sections 67-91)</w:t>
      </w:r>
    </w:p>
    <w:p>
      <w:pPr>
        <w:pStyle w:val="Heading2"/>
      </w:pPr>
      <w:r>
        <w:t>F.1 Transfer and chargeability</w:t>
      </w:r>
    </w:p>
    <w:p>
      <w:r>
        <w:rPr>
          <w:b/>
          <w:color w:val="1F4E79"/>
        </w:rPr>
        <w:t>CIT v. R.M. Amin</w:t>
      </w:r>
    </w:p>
    <w:p>
      <w:r>
        <w:rPr>
          <w:i/>
          <w:sz w:val="20"/>
        </w:rPr>
        <w:t>(1977) 106 ITR 368 (SC)  |  Supreme Court | 1977</w:t>
      </w:r>
    </w:p>
    <w:p>
      <w:r>
        <w:rPr>
          <w:b/>
        </w:rPr>
        <w:t xml:space="preserve">Principle: </w:t>
      </w:r>
      <w:r>
        <w:t>Distribution on liquidation = transfer for capital gains; cost = original cost adjusted for accumulated profits taxed as dividend.</w:t>
      </w:r>
    </w:p>
    <w:p>
      <w:r>
        <w:rPr>
          <w:b/>
        </w:rPr>
        <w:t xml:space="preserve">Use in app: </w:t>
      </w:r>
      <w:r>
        <w:t>AI: liquidation distribution gives rise to capital gains for shareholder under Sec 68.</w:t>
      </w:r>
    </w:p>
    <w:p>
      <w:r>
        <w:rPr>
          <w:b/>
        </w:rPr>
        <w:t xml:space="preserve">Section mapping: </w:t>
      </w:r>
      <w:r>
        <w:t>Sec 68 — old Sec 46(2)</w:t>
      </w:r>
    </w:p>
    <w:p/>
    <w:p>
      <w:r>
        <w:rPr>
          <w:b/>
          <w:color w:val="1F4E79"/>
        </w:rPr>
        <w:t>Suraj Lamps &amp; Industries v. State of Haryana</w:t>
      </w:r>
    </w:p>
    <w:p>
      <w:r>
        <w:rPr>
          <w:i/>
          <w:sz w:val="20"/>
        </w:rPr>
        <w:t>(2012) 340 ITR 2 (SC)  |  Supreme Court | 2012</w:t>
      </w:r>
    </w:p>
    <w:p>
      <w:r>
        <w:rPr>
          <w:b/>
        </w:rPr>
        <w:t xml:space="preserve">Principle: </w:t>
      </w:r>
      <w:r>
        <w:t>Power of Attorney (PoA) and unregistered Sale Agreement do NOT confer ownership for transfer purposes.</w:t>
      </w:r>
    </w:p>
    <w:p>
      <w:r>
        <w:rPr>
          <w:b/>
        </w:rPr>
        <w:t xml:space="preserve">Use in app: </w:t>
      </w:r>
      <w:r>
        <w:t>AI: requires registered sale deed for capital gains computation; mere PoA insufficient. Important for property transactions.</w:t>
      </w:r>
    </w:p>
    <w:p>
      <w:r>
        <w:rPr>
          <w:b/>
        </w:rPr>
        <w:t xml:space="preserve">Section mapping: </w:t>
      </w:r>
      <w:r>
        <w:t>Sec 2(109) (transfer)</w:t>
      </w:r>
    </w:p>
    <w:p/>
    <w:p>
      <w:r>
        <w:rPr>
          <w:b/>
          <w:color w:val="1F4E79"/>
        </w:rPr>
        <w:t>CIT v. Balbir Singh Maini</w:t>
      </w:r>
    </w:p>
    <w:p>
      <w:r>
        <w:rPr>
          <w:i/>
          <w:sz w:val="20"/>
        </w:rPr>
        <w:t>(2017) 398 ITR 531 (SC)  |  Supreme Court | 2017</w:t>
      </w:r>
    </w:p>
    <w:p>
      <w:r>
        <w:rPr>
          <w:b/>
        </w:rPr>
        <w:t xml:space="preserve">Principle: </w:t>
      </w:r>
      <w:r>
        <w:t>Joint Development Agreement (JDA) where consideration not received and no possession transferred = no capital gains liability in year of agreement. Tax arises on completion certificate.</w:t>
      </w:r>
    </w:p>
    <w:p>
      <w:r>
        <w:rPr>
          <w:b/>
        </w:rPr>
        <w:t xml:space="preserve">Use in app: </w:t>
      </w:r>
      <w:r>
        <w:t>Codified in Sec 67(14)/(15) — capital gains taxed in year of completion certificate. AI must apply.</w:t>
      </w:r>
    </w:p>
    <w:p>
      <w:r>
        <w:rPr>
          <w:b/>
        </w:rPr>
        <w:t xml:space="preserve">Section mapping: </w:t>
      </w:r>
      <w:r>
        <w:t>Sec 67(14) — codifies Balbir Singh Maini</w:t>
      </w:r>
    </w:p>
    <w:p/>
    <w:p>
      <w:r>
        <w:rPr>
          <w:b/>
          <w:color w:val="1F4E79"/>
        </w:rPr>
        <w:t>CIT v. T.K. Sarala Devi</w:t>
      </w:r>
    </w:p>
    <w:p>
      <w:r>
        <w:rPr>
          <w:i/>
          <w:sz w:val="20"/>
        </w:rPr>
        <w:t>(2018) 401 ITR 60 (Ker)  |  Kerala HC | 2018</w:t>
      </w:r>
    </w:p>
    <w:p>
      <w:r>
        <w:rPr>
          <w:b/>
        </w:rPr>
        <w:t xml:space="preserve">Principle: </w:t>
      </w:r>
      <w:r>
        <w:t>Transfer of property by way of unregistered agreement coupled with handover of possession — Sec 53A of TPA constitutes 'transfer' for capital gains.</w:t>
      </w:r>
    </w:p>
    <w:p>
      <w:r>
        <w:rPr>
          <w:b/>
        </w:rPr>
        <w:t xml:space="preserve">Use in app: </w:t>
      </w:r>
      <w:r>
        <w:t>AI: even unregistered handover triggers capital gains if Sec 53A conditions met.</w:t>
      </w:r>
    </w:p>
    <w:p>
      <w:r>
        <w:rPr>
          <w:b/>
        </w:rPr>
        <w:t xml:space="preserve">Section mapping: </w:t>
      </w:r>
      <w:r>
        <w:t>Sec 2(109)(g)</w:t>
      </w:r>
    </w:p>
    <w:p/>
    <w:p>
      <w:pPr>
        <w:pStyle w:val="Heading2"/>
      </w:pPr>
      <w:r>
        <w:t>F.2 Cost of acquisition (COA)</w:t>
      </w:r>
    </w:p>
    <w:p>
      <w:r>
        <w:rPr>
          <w:b/>
          <w:color w:val="1F4E79"/>
        </w:rPr>
        <w:t>CIT v. B.C. Srinivasa Setty</w:t>
      </w:r>
    </w:p>
    <w:p>
      <w:r>
        <w:rPr>
          <w:i/>
          <w:sz w:val="20"/>
        </w:rPr>
        <w:t>(1981) 128 ITR 294 (SC)  |  Supreme Court | 1981</w:t>
      </w:r>
    </w:p>
    <w:p>
      <w:r>
        <w:rPr>
          <w:b/>
        </w:rPr>
        <w:t xml:space="preserve">Principle: </w:t>
      </w:r>
      <w:r>
        <w:t>If COA cannot be conceived, no capital gains arises (e.g., self-generated goodwill of business prior to FA 2002 amendment).</w:t>
      </w:r>
    </w:p>
    <w:p>
      <w:r>
        <w:rPr>
          <w:b/>
        </w:rPr>
        <w:t xml:space="preserve">Use in app: </w:t>
      </w:r>
      <w:r>
        <w:t>Now overridden — Sec 90(3)(c) deems COA as NIL for self-generated intangibles. Goodwill specifically taxed.</w:t>
      </w:r>
    </w:p>
    <w:p>
      <w:r>
        <w:rPr>
          <w:b/>
        </w:rPr>
        <w:t xml:space="preserve">Section mapping: </w:t>
      </w:r>
      <w:r>
        <w:t>Sec 90 — overrides B.C. Srinivasa Setty</w:t>
      </w:r>
    </w:p>
    <w:p/>
    <w:p>
      <w:r>
        <w:rPr>
          <w:b/>
          <w:color w:val="1F4E79"/>
        </w:rPr>
        <w:t>Sanjeev Lal v. CIT</w:t>
      </w:r>
    </w:p>
    <w:p>
      <w:r>
        <w:rPr>
          <w:i/>
          <w:sz w:val="20"/>
        </w:rPr>
        <w:t>(2014) 365 ITR 389 (SC)  |  Supreme Court | 2014</w:t>
      </w:r>
    </w:p>
    <w:p>
      <w:r>
        <w:rPr>
          <w:b/>
        </w:rPr>
        <w:t xml:space="preserve">Principle: </w:t>
      </w:r>
      <w:r>
        <w:t>Sec 54 exemption: requires acquisition of new house within prescribed period. Date of agreement to purchase counts as date of investment.</w:t>
      </w:r>
    </w:p>
    <w:p>
      <w:r>
        <w:rPr>
          <w:b/>
        </w:rPr>
        <w:t xml:space="preserve">Use in app: </w:t>
      </w:r>
      <w:r>
        <w:t>AI applies to Sec 82 (Old 54) timing — date of payment / agreement may suffice if unconditional.</w:t>
      </w:r>
    </w:p>
    <w:p>
      <w:r>
        <w:rPr>
          <w:b/>
        </w:rPr>
        <w:t xml:space="preserve">Section mapping: </w:t>
      </w:r>
      <w:r>
        <w:t>Sec 82 (old 54)</w:t>
      </w:r>
    </w:p>
    <w:p/>
    <w:p>
      <w:r>
        <w:rPr>
          <w:b/>
          <w:color w:val="1F4E79"/>
        </w:rPr>
        <w:t>CIT v. T.N. Aravinda Reddy</w:t>
      </w:r>
    </w:p>
    <w:p>
      <w:r>
        <w:rPr>
          <w:i/>
          <w:sz w:val="20"/>
        </w:rPr>
        <w:t>(1979) 120 ITR 46 (SC)  |  Supreme Court | 1979</w:t>
      </w:r>
    </w:p>
    <w:p>
      <w:r>
        <w:rPr>
          <w:b/>
        </w:rPr>
        <w:t xml:space="preserve">Principle: </w:t>
      </w:r>
      <w:r>
        <w:t>Sec 54: 'purchase' includes purchase from other co-owner / brother — consideration for transfer of share.</w:t>
      </w:r>
    </w:p>
    <w:p>
      <w:r>
        <w:rPr>
          <w:b/>
        </w:rPr>
        <w:t xml:space="preserve">Use in app: </w:t>
      </w:r>
      <w:r>
        <w:t>AI: Sec 82 covers purchase from related party; not restricted to outsiders.</w:t>
      </w:r>
    </w:p>
    <w:p>
      <w:r>
        <w:rPr>
          <w:b/>
        </w:rPr>
        <w:t xml:space="preserve">Section mapping: </w:t>
      </w:r>
      <w:r>
        <w:t>Sec 82</w:t>
      </w:r>
    </w:p>
    <w:p/>
    <w:p>
      <w:r>
        <w:rPr>
          <w:b/>
          <w:color w:val="1F4E79"/>
        </w:rPr>
        <w:t>CIT v. Smt. Sashi Verma</w:t>
      </w:r>
    </w:p>
    <w:p>
      <w:r>
        <w:rPr>
          <w:i/>
          <w:sz w:val="20"/>
        </w:rPr>
        <w:t>(1997) 224 ITR 106 (MP)  |  Madhya Pradesh HC | 1997</w:t>
      </w:r>
    </w:p>
    <w:p>
      <w:r>
        <w:rPr>
          <w:b/>
        </w:rPr>
        <w:t xml:space="preserve">Principle: </w:t>
      </w:r>
      <w:r>
        <w:t>Sec 54F: assessee can construct on inherited land (need not buy fresh land). Construction qualifies for exemption.</w:t>
      </w:r>
    </w:p>
    <w:p>
      <w:r>
        <w:rPr>
          <w:b/>
        </w:rPr>
        <w:t xml:space="preserve">Use in app: </w:t>
      </w:r>
      <w:r>
        <w:t>AI: building on inherited land qualifies under Sec 86 (old 54F).</w:t>
      </w:r>
    </w:p>
    <w:p>
      <w:r>
        <w:rPr>
          <w:b/>
        </w:rPr>
        <w:t xml:space="preserve">Section mapping: </w:t>
      </w:r>
      <w:r>
        <w:t>Sec 86</w:t>
      </w:r>
    </w:p>
    <w:p/>
    <w:p>
      <w:r>
        <w:rPr>
          <w:b/>
          <w:color w:val="1F4E79"/>
        </w:rPr>
        <w:t>CIT v. Smt. Tilak Raj Bedi</w:t>
      </w:r>
    </w:p>
    <w:p>
      <w:r>
        <w:rPr>
          <w:i/>
          <w:sz w:val="20"/>
        </w:rPr>
        <w:t>(2009) 314 ITR 80 (Del)  |  Delhi HC | 2009</w:t>
      </w:r>
    </w:p>
    <w:p>
      <w:r>
        <w:rPr>
          <w:b/>
        </w:rPr>
        <w:t xml:space="preserve">Principle: </w:t>
      </w:r>
      <w:r>
        <w:t>Sec 54: investment in spouse's name allowed where consideration came from assessee's funds.</w:t>
      </w:r>
    </w:p>
    <w:p>
      <w:r>
        <w:rPr>
          <w:b/>
        </w:rPr>
        <w:t xml:space="preserve">Use in app: </w:t>
      </w:r>
      <w:r>
        <w:t>AI: allows joint registration / spouse's name purchase if funds from assessee. Document fund flow.</w:t>
      </w:r>
    </w:p>
    <w:p>
      <w:r>
        <w:rPr>
          <w:b/>
        </w:rPr>
        <w:t xml:space="preserve">Section mapping: </w:t>
      </w:r>
      <w:r>
        <w:t>Sec 82</w:t>
      </w:r>
    </w:p>
    <w:p/>
    <w:p>
      <w:r>
        <w:rPr>
          <w:b/>
          <w:color w:val="1F4E79"/>
        </w:rPr>
        <w:t>ACIT v. Karam Singh Banwait</w:t>
      </w:r>
    </w:p>
    <w:p>
      <w:r>
        <w:rPr>
          <w:i/>
          <w:sz w:val="20"/>
        </w:rPr>
        <w:t>(2005) 96 ITD 219 (Chd)  |  ITAT Chandigarh | 2005</w:t>
      </w:r>
    </w:p>
    <w:p>
      <w:r>
        <w:rPr>
          <w:b/>
        </w:rPr>
        <w:t xml:space="preserve">Principle: </w:t>
      </w:r>
      <w:r>
        <w:t>Sec 54F: 'one residential house' — even multiple flats in same building can qualify if acquired together.</w:t>
      </w:r>
    </w:p>
    <w:p>
      <w:r>
        <w:rPr>
          <w:b/>
        </w:rPr>
        <w:t xml:space="preserve">Use in app: </w:t>
      </w:r>
      <w:r>
        <w:t>Important for joint flats / duplexes — but post-2020, Sec 86 expressly allows ONE house only (₹2 cr / ₹10 cr cap for two).</w:t>
      </w:r>
    </w:p>
    <w:p>
      <w:r>
        <w:rPr>
          <w:b/>
        </w:rPr>
        <w:t xml:space="preserve">Section mapping: </w:t>
      </w:r>
      <w:r>
        <w:t>Sec 86(5)</w:t>
      </w:r>
    </w:p>
    <w:p/>
    <w:p>
      <w:r>
        <w:rPr>
          <w:b/>
          <w:color w:val="1F4E79"/>
        </w:rPr>
        <w:t>CIT v. Gita Duggal</w:t>
      </w:r>
    </w:p>
    <w:p>
      <w:r>
        <w:rPr>
          <w:i/>
          <w:sz w:val="20"/>
        </w:rPr>
        <w:t>(2014) 357 ITR 153 (Del)  |  Delhi HC | 2014</w:t>
      </w:r>
    </w:p>
    <w:p>
      <w:r>
        <w:rPr>
          <w:b/>
        </w:rPr>
        <w:t xml:space="preserve">Principle: </w:t>
      </w:r>
      <w:r>
        <w:t>Sec 54/54F: 'a residential house' includes multiple units in same building / floors taken together.</w:t>
      </w:r>
    </w:p>
    <w:p>
      <w:r>
        <w:rPr>
          <w:b/>
        </w:rPr>
        <w:t xml:space="preserve">Use in app: </w:t>
      </w:r>
      <w:r>
        <w:t>Now restricted by FA 2014 amendment — only ONE residential house qualifies. AI uses post-2014 position.</w:t>
      </w:r>
    </w:p>
    <w:p>
      <w:r>
        <w:rPr>
          <w:b/>
        </w:rPr>
        <w:t xml:space="preserve">Section mapping: </w:t>
      </w:r>
      <w:r>
        <w:t>Sec 82 / 86</w:t>
      </w:r>
    </w:p>
    <w:p/>
    <w:p>
      <w:pPr>
        <w:pStyle w:val="Heading2"/>
      </w:pPr>
      <w:r>
        <w:t>F.3 Indexation and special situations</w:t>
      </w:r>
    </w:p>
    <w:p>
      <w:r>
        <w:rPr>
          <w:b/>
          <w:color w:val="1F4E79"/>
        </w:rPr>
        <w:t>CIT v. Manjula J. Shah</w:t>
      </w:r>
    </w:p>
    <w:p>
      <w:r>
        <w:rPr>
          <w:i/>
          <w:sz w:val="20"/>
        </w:rPr>
        <w:t>(2011) 16 taxmann.com 42 (Bom)  |  Bombay HC | 2011</w:t>
      </w:r>
    </w:p>
    <w:p>
      <w:r>
        <w:rPr>
          <w:b/>
        </w:rPr>
        <w:t xml:space="preserve">Principle: </w:t>
      </w:r>
      <w:r>
        <w:t>Sec 49(1)(ii)/(iii) inherited asset: indexation benefit available from year previous owner held — not from year assessee inherited.</w:t>
      </w:r>
    </w:p>
    <w:p>
      <w:r>
        <w:rPr>
          <w:b/>
        </w:rPr>
        <w:t xml:space="preserve">Use in app: </w:t>
      </w:r>
      <w:r>
        <w:t>AI: for inherited capital assets, indexation period starts from previous owner's acquisition date.</w:t>
      </w:r>
    </w:p>
    <w:p>
      <w:r>
        <w:rPr>
          <w:b/>
        </w:rPr>
        <w:t xml:space="preserve">Section mapping: </w:t>
      </w:r>
      <w:r>
        <w:t>Sec 73 Sl.1 / Sec 72(8) (indexed COA)</w:t>
      </w:r>
    </w:p>
    <w:p/>
    <w:p>
      <w:r>
        <w:rPr>
          <w:b/>
          <w:color w:val="1F4E79"/>
        </w:rPr>
        <w:t>Mohanjit Singh v. ITO</w:t>
      </w:r>
    </w:p>
    <w:p>
      <w:r>
        <w:rPr>
          <w:i/>
          <w:sz w:val="20"/>
        </w:rPr>
        <w:t>(2017) 84 taxmann.com 184 (P&amp;H)  |  Punjab &amp; Haryana HC | 2017</w:t>
      </w:r>
    </w:p>
    <w:p>
      <w:r>
        <w:rPr>
          <w:b/>
        </w:rPr>
        <w:t xml:space="preserve">Principle: </w:t>
      </w:r>
      <w:r>
        <w:t>ESOP capital gains: COA = FMV on grant date (taxed as perquisite); not nominal exercise price.</w:t>
      </w:r>
    </w:p>
    <w:p>
      <w:r>
        <w:rPr>
          <w:b/>
        </w:rPr>
        <w:t xml:space="preserve">Use in app: </w:t>
      </w:r>
      <w:r>
        <w:t>AI uses Sec 73 Sl.4 for ESOP COA = perquisite-tax FMV.</w:t>
      </w:r>
    </w:p>
    <w:p>
      <w:r>
        <w:rPr>
          <w:b/>
        </w:rPr>
        <w:t xml:space="preserve">Section mapping: </w:t>
      </w:r>
      <w:r>
        <w:t>Sec 73 Sl.4</w:t>
      </w:r>
    </w:p>
    <w:p/>
    <w:p>
      <w:pPr>
        <w:pStyle w:val="Heading2"/>
      </w:pPr>
      <w:r>
        <w:t>F.4 Section 50C / Sec 78 — stamp duty value</w:t>
      </w:r>
    </w:p>
    <w:p>
      <w:r>
        <w:rPr>
          <w:b/>
          <w:color w:val="1F4E79"/>
        </w:rPr>
        <w:t>CIT v. Chandni Bhuchar</w:t>
      </w:r>
    </w:p>
    <w:p>
      <w:r>
        <w:rPr>
          <w:i/>
          <w:sz w:val="20"/>
        </w:rPr>
        <w:t>(2010) 323 ITR 510 (P&amp;H)  |  Punjab &amp; Haryana HC | 2010</w:t>
      </w:r>
    </w:p>
    <w:p>
      <w:r>
        <w:rPr>
          <w:b/>
        </w:rPr>
        <w:t xml:space="preserve">Principle: </w:t>
      </w:r>
      <w:r>
        <w:t>Sec 50C: assessee can challenge SDV — Valuation Officer reference mandatory if assessee disputes.</w:t>
      </w:r>
    </w:p>
    <w:p>
      <w:r>
        <w:rPr>
          <w:b/>
        </w:rPr>
        <w:t xml:space="preserve">Use in app: </w:t>
      </w:r>
      <w:r>
        <w:t>AI: provides user option to dispute SDV; refers to Sec 78(2) procedure with Valuation Officer.</w:t>
      </w:r>
    </w:p>
    <w:p>
      <w:r>
        <w:rPr>
          <w:b/>
        </w:rPr>
        <w:t xml:space="preserve">Section mapping: </w:t>
      </w:r>
      <w:r>
        <w:t>Sec 78(2)</w:t>
      </w:r>
    </w:p>
    <w:p/>
    <w:p>
      <w:r>
        <w:rPr>
          <w:b/>
          <w:color w:val="1F4E79"/>
        </w:rPr>
        <w:t>CIT v. Smt. Nilofer I. Singh</w:t>
      </w:r>
    </w:p>
    <w:p>
      <w:r>
        <w:rPr>
          <w:i/>
          <w:sz w:val="20"/>
        </w:rPr>
        <w:t>(2009) 309 ITR 233 (Del)  |  Delhi HC | 2009</w:t>
      </w:r>
    </w:p>
    <w:p>
      <w:r>
        <w:rPr>
          <w:b/>
        </w:rPr>
        <w:t xml:space="preserve">Principle: </w:t>
      </w:r>
      <w:r>
        <w:t>Sec 50C does NOT apply to assets sold as stock-in-trade.</w:t>
      </w:r>
    </w:p>
    <w:p>
      <w:r>
        <w:rPr>
          <w:b/>
        </w:rPr>
        <w:t xml:space="preserve">Use in app: </w:t>
      </w:r>
      <w:r>
        <w:t>AI: Sec 78 SDV applies only to capital assets, not stock-in-trade. (For stock-in-trade, Sec 26(2)(j) applies on conversion.)</w:t>
      </w:r>
    </w:p>
    <w:p>
      <w:r>
        <w:rPr>
          <w:b/>
        </w:rPr>
        <w:t xml:space="preserve">Section mapping: </w:t>
      </w:r>
      <w:r>
        <w:t>Sec 78</w:t>
      </w:r>
    </w:p>
    <w:p/>
    <w:p>
      <w:r>
        <w:br w:type="page"/>
      </w:r>
    </w:p>
    <w:p>
      <w:pPr>
        <w:pStyle w:val="Heading1"/>
      </w:pPr>
      <w:r>
        <w:t>Part G — Income from Other Sources (Sections 92-96)</w:t>
      </w:r>
    </w:p>
    <w:p>
      <w:r>
        <w:rPr>
          <w:b/>
          <w:color w:val="1F4E79"/>
        </w:rPr>
        <w:t>CIT v. G.R. Karthikeyan</w:t>
      </w:r>
    </w:p>
    <w:p>
      <w:r>
        <w:rPr>
          <w:i/>
          <w:sz w:val="20"/>
        </w:rPr>
        <w:t>(1993) 201 ITR 866 (SC)  |  Supreme Court | 1993</w:t>
      </w:r>
    </w:p>
    <w:p>
      <w:r>
        <w:rPr>
          <w:b/>
        </w:rPr>
        <w:t xml:space="preserve">Principle: </w:t>
      </w:r>
      <w:r>
        <w:t>Winnings from race horses, lotteries, crosswords = wider scope; even unexpected winnings in races.</w:t>
      </w:r>
    </w:p>
    <w:p>
      <w:r>
        <w:rPr>
          <w:b/>
        </w:rPr>
        <w:t xml:space="preserve">Use in app: </w:t>
      </w:r>
      <w:r>
        <w:t>AI: any betting / lottery / casual winnings under Sec 92(2)(b) → Sec 194 30% special rate, no deductions.</w:t>
      </w:r>
    </w:p>
    <w:p>
      <w:r>
        <w:rPr>
          <w:b/>
        </w:rPr>
        <w:t xml:space="preserve">Section mapping: </w:t>
      </w:r>
      <w:r>
        <w:t>Sec 92(2)(b) / Sec 194 / Sec 94(4)</w:t>
      </w:r>
    </w:p>
    <w:p/>
    <w:p>
      <w:r>
        <w:rPr>
          <w:b/>
          <w:color w:val="1F4E79"/>
        </w:rPr>
        <w:t>CIT v. Walfort Share &amp; Stock Brokers</w:t>
      </w:r>
    </w:p>
    <w:p>
      <w:r>
        <w:rPr>
          <w:i/>
          <w:sz w:val="20"/>
        </w:rPr>
        <w:t>(2010) 326 ITR 1 (SC)  |  Supreme Court | 2010</w:t>
      </w:r>
    </w:p>
    <w:p>
      <w:r>
        <w:rPr>
          <w:b/>
        </w:rPr>
        <w:t xml:space="preserve">Principle: </w:t>
      </w:r>
      <w:r>
        <w:t>Dividend stripping: loss on sale of shares NOT disallowable merely because dividend received. Sec 94(7) was prospective.</w:t>
      </w:r>
    </w:p>
    <w:p>
      <w:r>
        <w:rPr>
          <w:b/>
        </w:rPr>
        <w:t xml:space="preserve">Use in app: </w:t>
      </w:r>
      <w:r>
        <w:t>AI: Walfort principle codified in Sec 175 (avoidance) — modern dividend stripping rules now apply. Limit set by Sec 175.</w:t>
      </w:r>
    </w:p>
    <w:p>
      <w:r>
        <w:rPr>
          <w:b/>
        </w:rPr>
        <w:t xml:space="preserve">Section mapping: </w:t>
      </w:r>
      <w:r>
        <w:t>Sec 175 (old Sec 94)</w:t>
      </w:r>
    </w:p>
    <w:p/>
    <w:p>
      <w:r>
        <w:rPr>
          <w:b/>
          <w:color w:val="1F4E79"/>
        </w:rPr>
        <w:t>CIT v. Mohan Meakin Breweries</w:t>
      </w:r>
    </w:p>
    <w:p>
      <w:r>
        <w:rPr>
          <w:i/>
          <w:sz w:val="20"/>
        </w:rPr>
        <w:t>(2002) 257 ITR 705 (HP)  |  Himachal Pradesh HC | 2002</w:t>
      </w:r>
    </w:p>
    <w:p>
      <w:r>
        <w:rPr>
          <w:b/>
        </w:rPr>
        <w:t xml:space="preserve">Principle: </w:t>
      </w:r>
      <w:r>
        <w:t>Gift from non-relative &gt; prescribed limit = taxable u/s 56(2). Bona fide nature irrelevant.</w:t>
      </w:r>
    </w:p>
    <w:p>
      <w:r>
        <w:rPr>
          <w:b/>
        </w:rPr>
        <w:t xml:space="preserve">Use in app: </w:t>
      </w:r>
      <w:r>
        <w:t>AI: rigid application of Sec 92(2)(m) gift threshold (₹50,000) — even genuine gifts taxable above limit.</w:t>
      </w:r>
    </w:p>
    <w:p>
      <w:r>
        <w:rPr>
          <w:b/>
        </w:rPr>
        <w:t xml:space="preserve">Section mapping: </w:t>
      </w:r>
      <w:r>
        <w:t>Sec 92(2)(m)</w:t>
      </w:r>
    </w:p>
    <w:p/>
    <w:p>
      <w:r>
        <w:br w:type="page"/>
      </w:r>
    </w:p>
    <w:p>
      <w:pPr>
        <w:pStyle w:val="Heading1"/>
      </w:pPr>
      <w:r>
        <w:t>Part H — Deductions (Sections 122-154)</w:t>
      </w:r>
    </w:p>
    <w:p>
      <w:r>
        <w:rPr>
          <w:b/>
          <w:color w:val="1F4E79"/>
        </w:rPr>
        <w:t>CIT v. Liberty India</w:t>
      </w:r>
    </w:p>
    <w:p>
      <w:r>
        <w:rPr>
          <w:i/>
          <w:sz w:val="20"/>
        </w:rPr>
        <w:t>(2009) 317 ITR 218 (SC)  |  Supreme Court | 2009</w:t>
      </w:r>
    </w:p>
    <w:p>
      <w:r>
        <w:rPr>
          <w:b/>
        </w:rPr>
        <w:t xml:space="preserve">Principle: </w:t>
      </w:r>
      <w:r>
        <w:t>DEPB / duty drawback receipts = NOT 'profits derived from' eligible business → not eligible for 80-IB / 80-IA deduction.</w:t>
      </w:r>
    </w:p>
    <w:p>
      <w:r>
        <w:rPr>
          <w:b/>
        </w:rPr>
        <w:t xml:space="preserve">Use in app: </w:t>
      </w:r>
      <w:r>
        <w:t>AI: applies to Sec 138-145 deductions of 2025 Act — narrow interpretation of 'derived from'.</w:t>
      </w:r>
    </w:p>
    <w:p>
      <w:r>
        <w:rPr>
          <w:b/>
        </w:rPr>
        <w:t xml:space="preserve">Section mapping: </w:t>
      </w:r>
      <w:r>
        <w:t>Sec 138-145</w:t>
      </w:r>
    </w:p>
    <w:p/>
    <w:p>
      <w:r>
        <w:rPr>
          <w:b/>
          <w:color w:val="1F4E79"/>
        </w:rPr>
        <w:t>CIT v. P. Krishnan Nair</w:t>
      </w:r>
    </w:p>
    <w:p>
      <w:r>
        <w:rPr>
          <w:i/>
          <w:sz w:val="20"/>
        </w:rPr>
        <w:t>(1993) 200 ITR 469 (Ker)  |  Kerala HC | 1993</w:t>
      </w:r>
    </w:p>
    <w:p>
      <w:r>
        <w:rPr>
          <w:b/>
        </w:rPr>
        <w:t xml:space="preserve">Principle: </w:t>
      </w:r>
      <w:r>
        <w:t>Sec 80C: PPF contribution by HUF for member is allowed (HUF can contribute to PPF account of member).</w:t>
      </w:r>
    </w:p>
    <w:p>
      <w:r>
        <w:rPr>
          <w:b/>
        </w:rPr>
        <w:t xml:space="preserve">Use in app: </w:t>
      </w:r>
      <w:r>
        <w:t>AI: HUF contributions to member PPF deductible under Sec 123 (old 80C). Limit applies at HUF level.</w:t>
      </w:r>
    </w:p>
    <w:p>
      <w:r>
        <w:rPr>
          <w:b/>
        </w:rPr>
        <w:t xml:space="preserve">Section mapping: </w:t>
      </w:r>
      <w:r>
        <w:t>Sec 123</w:t>
      </w:r>
    </w:p>
    <w:p/>
    <w:p>
      <w:r>
        <w:rPr>
          <w:b/>
          <w:color w:val="1F4E79"/>
        </w:rPr>
        <w:t>Jayaraj v. ITO</w:t>
      </w:r>
    </w:p>
    <w:p>
      <w:r>
        <w:rPr>
          <w:i/>
          <w:sz w:val="20"/>
        </w:rPr>
        <w:t>(2005) 273 ITR 9 (Mad)  |  Madras HC | 2005</w:t>
      </w:r>
    </w:p>
    <w:p>
      <w:r>
        <w:rPr>
          <w:b/>
        </w:rPr>
        <w:t xml:space="preserve">Principle: </w:t>
      </w:r>
      <w:r>
        <w:t>Sec 80E: education loan interest deductible only if loan is in student's name (or guardian's name for minor).</w:t>
      </w:r>
    </w:p>
    <w:p>
      <w:r>
        <w:rPr>
          <w:b/>
        </w:rPr>
        <w:t xml:space="preserve">Use in app: </w:t>
      </w:r>
      <w:r>
        <w:t>AI: validates loan documentation for Sec 129 (old 80E) eligibility.</w:t>
      </w:r>
    </w:p>
    <w:p>
      <w:r>
        <w:rPr>
          <w:b/>
        </w:rPr>
        <w:t xml:space="preserve">Section mapping: </w:t>
      </w:r>
      <w:r>
        <w:t>Sec 129</w:t>
      </w:r>
    </w:p>
    <w:p/>
    <w:p>
      <w:r>
        <w:rPr>
          <w:b/>
          <w:color w:val="1F4E79"/>
        </w:rPr>
        <w:t>DIT (Exemption) v. Bharat Diamond Bourse</w:t>
      </w:r>
    </w:p>
    <w:p>
      <w:r>
        <w:rPr>
          <w:i/>
          <w:sz w:val="20"/>
        </w:rPr>
        <w:t>(2003) 259 ITR 280 (SC)  |  Supreme Court | 2003</w:t>
      </w:r>
    </w:p>
    <w:p>
      <w:r>
        <w:rPr>
          <w:b/>
        </w:rPr>
        <w:t xml:space="preserve">Principle: </w:t>
      </w:r>
      <w:r>
        <w:t>Charitable purpose test: even if profit motive present, primary objective being public welfare = charitable. Mutual organisations may qualify.</w:t>
      </w:r>
    </w:p>
    <w:p>
      <w:r>
        <w:rPr>
          <w:b/>
        </w:rPr>
        <w:t xml:space="preserve">Use in app: </w:t>
      </w:r>
      <w:r>
        <w:t>Important for Sec 332+ RNPO classification under 2025 Act.</w:t>
      </w:r>
    </w:p>
    <w:p>
      <w:r>
        <w:rPr>
          <w:b/>
        </w:rPr>
        <w:t xml:space="preserve">Section mapping: </w:t>
      </w:r>
      <w:r>
        <w:t>Sec 332-355</w:t>
      </w:r>
    </w:p>
    <w:p/>
    <w:p>
      <w:r>
        <w:br w:type="page"/>
      </w:r>
    </w:p>
    <w:p>
      <w:pPr>
        <w:pStyle w:val="Heading1"/>
      </w:pPr>
      <w:r>
        <w:t>Part I — Set-off and Carry Forward of Losses (Sections 108-121)</w:t>
      </w:r>
    </w:p>
    <w:p>
      <w:r>
        <w:rPr>
          <w:b/>
          <w:color w:val="1F4E79"/>
        </w:rPr>
        <w:t>CIT v. Manmohan Das</w:t>
      </w:r>
    </w:p>
    <w:p>
      <w:r>
        <w:rPr>
          <w:i/>
          <w:sz w:val="20"/>
        </w:rPr>
        <w:t>(1966) 59 ITR 699 (SC)  |  Supreme Court | 1966</w:t>
      </w:r>
    </w:p>
    <w:p>
      <w:r>
        <w:rPr>
          <w:b/>
        </w:rPr>
        <w:t xml:space="preserve">Principle: </w:t>
      </w:r>
      <w:r>
        <w:t>Carry forward of loss: must be claimed in return for the year of loss; cannot be claimed first-time in year of set-off.</w:t>
      </w:r>
    </w:p>
    <w:p>
      <w:r>
        <w:rPr>
          <w:b/>
        </w:rPr>
        <w:t xml:space="preserve">Use in app: </w:t>
      </w:r>
      <w:r>
        <w:t>AI: must enable users to file loss returns even if no tax payable, to preserve CF (Sec 121).</w:t>
      </w:r>
    </w:p>
    <w:p>
      <w:r>
        <w:rPr>
          <w:b/>
        </w:rPr>
        <w:t xml:space="preserve">Section mapping: </w:t>
      </w:r>
      <w:r>
        <w:t>Sec 121</w:t>
      </w:r>
    </w:p>
    <w:p/>
    <w:p>
      <w:r>
        <w:rPr>
          <w:b/>
          <w:color w:val="1F4E79"/>
        </w:rPr>
        <w:t>ACIT v. Shanti Kumar Garg</w:t>
      </w:r>
    </w:p>
    <w:p>
      <w:r>
        <w:rPr>
          <w:i/>
          <w:sz w:val="20"/>
        </w:rPr>
        <w:t>(2005) 96 ITD 91 (Del)  |  ITAT Delhi | 2005</w:t>
      </w:r>
    </w:p>
    <w:p>
      <w:r>
        <w:rPr>
          <w:b/>
        </w:rPr>
        <w:t xml:space="preserve">Principle: </w:t>
      </w:r>
      <w:r>
        <w:t>Loss from speculation business CF only against speculation profits — no contrary equity argument.</w:t>
      </w:r>
    </w:p>
    <w:p>
      <w:r>
        <w:rPr>
          <w:b/>
        </w:rPr>
        <w:t xml:space="preserve">Use in app: </w:t>
      </w:r>
      <w:r>
        <w:t>AI: strict per Sec 113.</w:t>
      </w:r>
    </w:p>
    <w:p>
      <w:r>
        <w:rPr>
          <w:b/>
        </w:rPr>
        <w:t xml:space="preserve">Section mapping: </w:t>
      </w:r>
      <w:r>
        <w:t>Sec 113</w:t>
      </w:r>
    </w:p>
    <w:p/>
    <w:p>
      <w:r>
        <w:rPr>
          <w:b/>
          <w:color w:val="1F4E79"/>
        </w:rPr>
        <w:t>Hindustan Zinc Ltd. v. CIT</w:t>
      </w:r>
    </w:p>
    <w:p>
      <w:r>
        <w:rPr>
          <w:i/>
          <w:sz w:val="20"/>
        </w:rPr>
        <w:t>(2009) 309 ITR 412 (SC)  |  Supreme Court | 2009</w:t>
      </w:r>
    </w:p>
    <w:p>
      <w:r>
        <w:rPr>
          <w:b/>
        </w:rPr>
        <w:t xml:space="preserve">Principle: </w:t>
      </w:r>
      <w:r>
        <w:t>Sec 79 (now Sec 119(3)): 51% shareholding continuity must be checked at year-end of set-off vs year-end of loss.</w:t>
      </w:r>
    </w:p>
    <w:p>
      <w:r>
        <w:rPr>
          <w:b/>
        </w:rPr>
        <w:t xml:space="preserve">Use in app: </w:t>
      </w:r>
      <w:r>
        <w:t>AI: applies to 2025 Sec 119(3) — closely-held company loss CF requires 51% common shareholders.</w:t>
      </w:r>
    </w:p>
    <w:p>
      <w:r>
        <w:rPr>
          <w:b/>
        </w:rPr>
        <w:t xml:space="preserve">Section mapping: </w:t>
      </w:r>
      <w:r>
        <w:t>Sec 119(3)</w:t>
      </w:r>
    </w:p>
    <w:p/>
    <w:p>
      <w:r>
        <w:br w:type="page"/>
      </w:r>
    </w:p>
    <w:p>
      <w:pPr>
        <w:pStyle w:val="Heading1"/>
      </w:pPr>
      <w:r>
        <w:t>Part J — International Tax and Transfer Pricing (Sections 161-177)</w:t>
      </w:r>
    </w:p>
    <w:p>
      <w:r>
        <w:rPr>
          <w:b/>
          <w:color w:val="1F4E79"/>
        </w:rPr>
        <w:t>CIT v. Maruti Suzuki India Ltd.</w:t>
      </w:r>
    </w:p>
    <w:p>
      <w:r>
        <w:rPr>
          <w:i/>
          <w:sz w:val="20"/>
        </w:rPr>
        <w:t>(2013) 354 ITR 251 (Del)  |  Delhi HC | 2013</w:t>
      </w:r>
    </w:p>
    <w:p>
      <w:r>
        <w:rPr>
          <w:b/>
        </w:rPr>
        <w:t xml:space="preserve">Principle: </w:t>
      </w:r>
      <w:r>
        <w:t>AMP (Advertisement, Marketing, Promotion) expenditure = international transaction if part of international cost contribution arrangement. Bright Line Test for non-routine AMP.</w:t>
      </w:r>
    </w:p>
    <w:p>
      <w:r>
        <w:rPr>
          <w:b/>
        </w:rPr>
        <w:t xml:space="preserve">Use in app: </w:t>
      </w:r>
      <w:r>
        <w:t>Important for AI: TP analysis for Indian subsidiaries of MNCs incurring marketing spend on foreign brands.</w:t>
      </w:r>
    </w:p>
    <w:p>
      <w:r>
        <w:rPr>
          <w:b/>
        </w:rPr>
        <w:t xml:space="preserve">Section mapping: </w:t>
      </w:r>
      <w:r>
        <w:t>Sec 163 (international transaction)</w:t>
      </w:r>
    </w:p>
    <w:p/>
    <w:p>
      <w:r>
        <w:rPr>
          <w:b/>
          <w:color w:val="1F4E79"/>
        </w:rPr>
        <w:t>Sony Ericsson Mobile Communications (India) v. CIT</w:t>
      </w:r>
    </w:p>
    <w:p>
      <w:r>
        <w:rPr>
          <w:i/>
          <w:sz w:val="20"/>
        </w:rPr>
        <w:t>(2015) 374 ITR 118 (Del)  |  Delhi HC | 2015</w:t>
      </w:r>
    </w:p>
    <w:p>
      <w:r>
        <w:rPr>
          <w:b/>
        </w:rPr>
        <w:t xml:space="preserve">Principle: </w:t>
      </w:r>
      <w:r>
        <w:t>Bright Line Test for AMP rejected. Each case to be analysed on facts. ALP determination requires use of approved methods.</w:t>
      </w:r>
    </w:p>
    <w:p>
      <w:r>
        <w:rPr>
          <w:b/>
        </w:rPr>
        <w:t xml:space="preserve">Use in app: </w:t>
      </w:r>
      <w:r>
        <w:t>AI: AMP cases require detailed ALP analysis under Sec 165.</w:t>
      </w:r>
    </w:p>
    <w:p>
      <w:r>
        <w:rPr>
          <w:b/>
        </w:rPr>
        <w:t xml:space="preserve">Section mapping: </w:t>
      </w:r>
      <w:r>
        <w:t>Sec 165</w:t>
      </w:r>
    </w:p>
    <w:p/>
    <w:p>
      <w:r>
        <w:rPr>
          <w:b/>
          <w:color w:val="1F4E79"/>
        </w:rPr>
        <w:t>DCIT v. Toll Global Forwarding India</w:t>
      </w:r>
    </w:p>
    <w:p>
      <w:r>
        <w:rPr>
          <w:i/>
          <w:sz w:val="20"/>
        </w:rPr>
        <w:t>(2014) 30 ITR(T) 31 (Del)  |  ITAT Delhi | 2014</w:t>
      </w:r>
    </w:p>
    <w:p>
      <w:r>
        <w:rPr>
          <w:b/>
        </w:rPr>
        <w:t xml:space="preserve">Principle: </w:t>
      </w:r>
      <w:r>
        <w:t>Most appropriate method (MAM): TNMM commonly accepted for back-office services if comparable benchmarks exist.</w:t>
      </w:r>
    </w:p>
    <w:p>
      <w:r>
        <w:rPr>
          <w:b/>
        </w:rPr>
        <w:t xml:space="preserve">Use in app: </w:t>
      </w:r>
      <w:r>
        <w:t>AI: TNMM usable for ITES, BPO, captive R&amp;D segments.</w:t>
      </w:r>
    </w:p>
    <w:p>
      <w:r>
        <w:rPr>
          <w:b/>
        </w:rPr>
        <w:t xml:space="preserve">Section mapping: </w:t>
      </w:r>
      <w:r>
        <w:t>Sec 165</w:t>
      </w:r>
    </w:p>
    <w:p/>
    <w:p>
      <w:r>
        <w:rPr>
          <w:b/>
          <w:color w:val="1F4E79"/>
        </w:rPr>
        <w:t>Bharti Airtel Ltd. v. ACIT</w:t>
      </w:r>
    </w:p>
    <w:p>
      <w:r>
        <w:rPr>
          <w:i/>
          <w:sz w:val="20"/>
        </w:rPr>
        <w:t>(2014) 63 SOT 113 (Del)  |  ITAT Delhi | 2014</w:t>
      </w:r>
    </w:p>
    <w:p>
      <w:r>
        <w:rPr>
          <w:b/>
        </w:rPr>
        <w:t xml:space="preserve">Principle: </w:t>
      </w:r>
      <w:r>
        <w:t>Free of cost airtime from group telecom companies = international transaction; ALP must be determined.</w:t>
      </w:r>
    </w:p>
    <w:p>
      <w:r>
        <w:rPr>
          <w:b/>
        </w:rPr>
        <w:t xml:space="preserve">Use in app: </w:t>
      </w:r>
      <w:r>
        <w:t>AI: includes 'no consideration' transactions if between AEs.</w:t>
      </w:r>
    </w:p>
    <w:p>
      <w:r>
        <w:rPr>
          <w:b/>
        </w:rPr>
        <w:t xml:space="preserve">Section mapping: </w:t>
      </w:r>
      <w:r>
        <w:t>Sec 161 (ALP charge) / Sec 163</w:t>
      </w:r>
    </w:p>
    <w:p/>
    <w:p>
      <w:r>
        <w:rPr>
          <w:b/>
          <w:color w:val="1F4E79"/>
        </w:rPr>
        <w:t>GE Energy Parts Inc. v. CIT</w:t>
      </w:r>
    </w:p>
    <w:p>
      <w:r>
        <w:rPr>
          <w:i/>
          <w:sz w:val="20"/>
        </w:rPr>
        <w:t>(2017) 247 Taxman 156 (Del)  |  Delhi HC | 2017</w:t>
      </w:r>
    </w:p>
    <w:p>
      <w:r>
        <w:rPr>
          <w:b/>
        </w:rPr>
        <w:t xml:space="preserve">Principle: </w:t>
      </w:r>
      <w:r>
        <w:t>Marketing/technical employees of GE in India — DAPE (Dependent Agent PE) and FAPE (Fixed Agent PE) constituted; profit attribution required.</w:t>
      </w:r>
    </w:p>
    <w:p>
      <w:r>
        <w:rPr>
          <w:b/>
        </w:rPr>
        <w:t xml:space="preserve">Use in app: </w:t>
      </w:r>
      <w:r>
        <w:t>AI flag: foreign companies with India sales staff may have PE.</w:t>
      </w:r>
    </w:p>
    <w:p>
      <w:r>
        <w:rPr>
          <w:b/>
        </w:rPr>
        <w:t xml:space="preserve">Section mapping: </w:t>
      </w:r>
      <w:r>
        <w:t>Sec 9(9)(b)(i) (dependent agent PE)</w:t>
      </w:r>
    </w:p>
    <w:p/>
    <w:p>
      <w:r>
        <w:br w:type="page"/>
      </w:r>
    </w:p>
    <w:p>
      <w:pPr>
        <w:pStyle w:val="Heading1"/>
      </w:pPr>
      <w:r>
        <w:t>Part K — Assessment and Reassessment (Sections 268-301)</w:t>
      </w:r>
    </w:p>
    <w:p>
      <w:r>
        <w:rPr>
          <w:b/>
          <w:color w:val="1F4E79"/>
        </w:rPr>
        <w:t>CIT v. Kelvinator of India Ltd.</w:t>
      </w:r>
    </w:p>
    <w:p>
      <w:r>
        <w:rPr>
          <w:i/>
          <w:sz w:val="20"/>
        </w:rPr>
        <w:t>(2010) 320 ITR 561 (SC)  |  Supreme Court | 2010</w:t>
      </w:r>
    </w:p>
    <w:p>
      <w:r>
        <w:rPr>
          <w:b/>
        </w:rPr>
        <w:t xml:space="preserve">Principle: </w:t>
      </w:r>
      <w:r>
        <w:t>Reassessment u/s 147: 'reason to believe' must be based on tangible material; mere change of opinion NOT permissible.</w:t>
      </w:r>
    </w:p>
    <w:p>
      <w:r>
        <w:rPr>
          <w:b/>
        </w:rPr>
        <w:t xml:space="preserve">Use in app: </w:t>
      </w:r>
      <w:r>
        <w:t>AI: Sec 279 reassessment requires substantive material; mere recategorisation = not valid ground.</w:t>
      </w:r>
    </w:p>
    <w:p>
      <w:r>
        <w:rPr>
          <w:b/>
        </w:rPr>
        <w:t xml:space="preserve">Section mapping: </w:t>
      </w:r>
      <w:r>
        <w:t>Sec 279 (escapement) — old Sec 147</w:t>
      </w:r>
    </w:p>
    <w:p/>
    <w:p>
      <w:r>
        <w:rPr>
          <w:b/>
          <w:color w:val="1F4E79"/>
        </w:rPr>
        <w:t>Asst. CIT v. Rajesh Jhaveri Stock Brokers</w:t>
      </w:r>
    </w:p>
    <w:p>
      <w:r>
        <w:rPr>
          <w:i/>
          <w:sz w:val="20"/>
        </w:rPr>
        <w:t>(2007) 291 ITR 500 (SC)  |  Supreme Court | 2007</w:t>
      </w:r>
    </w:p>
    <w:p>
      <w:r>
        <w:rPr>
          <w:b/>
        </w:rPr>
        <w:t xml:space="preserve">Principle: </w:t>
      </w:r>
      <w:r>
        <w:t>Intimation u/s 143(1) = NOT assessment for purposes of Sec 147 reopening. Reopening can be based on items in original return.</w:t>
      </w:r>
    </w:p>
    <w:p>
      <w:r>
        <w:rPr>
          <w:b/>
        </w:rPr>
        <w:t xml:space="preserve">Use in app: </w:t>
      </w:r>
      <w:r>
        <w:t>AI procedural awareness: 143(1) processing doesn't preclude reopening.</w:t>
      </w:r>
    </w:p>
    <w:p>
      <w:r>
        <w:rPr>
          <w:b/>
        </w:rPr>
        <w:t xml:space="preserve">Section mapping: </w:t>
      </w:r>
      <w:r>
        <w:t>Sec 270 / Sec 279</w:t>
      </w:r>
    </w:p>
    <w:p/>
    <w:p>
      <w:r>
        <w:rPr>
          <w:b/>
          <w:color w:val="1F4E79"/>
        </w:rPr>
        <w:t>Union of India v. Ashish Agarwal</w:t>
      </w:r>
    </w:p>
    <w:p>
      <w:r>
        <w:rPr>
          <w:i/>
          <w:sz w:val="20"/>
        </w:rPr>
        <w:t>(2022) 444 ITR 1 (SC)  |  Supreme Court | 2022</w:t>
      </w:r>
    </w:p>
    <w:p>
      <w:r>
        <w:rPr>
          <w:b/>
        </w:rPr>
        <w:t xml:space="preserve">Principle: </w:t>
      </w:r>
      <w:r>
        <w:t>Old Sec 148 notices issued post 1 April 2021 deemed to have been issued under new Sec 148A regime.</w:t>
      </w:r>
    </w:p>
    <w:p>
      <w:r>
        <w:rPr>
          <w:b/>
        </w:rPr>
        <w:t xml:space="preserve">Use in app: </w:t>
      </w:r>
      <w:r>
        <w:t>AI procedural — relevant for old AY reopening notices. New Sec 281 procedure now codified.</w:t>
      </w:r>
    </w:p>
    <w:p>
      <w:r>
        <w:rPr>
          <w:b/>
        </w:rPr>
        <w:t xml:space="preserve">Section mapping: </w:t>
      </w:r>
      <w:r>
        <w:t>Sec 281 (procedure before notice) — old Sec 148A</w:t>
      </w:r>
    </w:p>
    <w:p/>
    <w:p>
      <w:r>
        <w:rPr>
          <w:b/>
          <w:color w:val="1F4E79"/>
        </w:rPr>
        <w:t>ACIT v. Saurashtra Kutch Stock Exchange</w:t>
      </w:r>
    </w:p>
    <w:p>
      <w:r>
        <w:rPr>
          <w:i/>
          <w:sz w:val="20"/>
        </w:rPr>
        <w:t>(2008) 305 ITR 227 (SC)  |  Supreme Court | 2008</w:t>
      </w:r>
    </w:p>
    <w:p>
      <w:r>
        <w:rPr>
          <w:b/>
        </w:rPr>
        <w:t xml:space="preserve">Principle: </w:t>
      </w:r>
      <w:r>
        <w:t>Rectification u/s 154: mistake apparent from record includes mistakes of law subsequently held to be wrong by SC.</w:t>
      </w:r>
    </w:p>
    <w:p>
      <w:r>
        <w:rPr>
          <w:b/>
        </w:rPr>
        <w:t xml:space="preserve">Use in app: </w:t>
      </w:r>
      <w:r>
        <w:t>AI: rectification under Sec 287 broad scope — covers SC-clarified law mistakes.</w:t>
      </w:r>
    </w:p>
    <w:p>
      <w:r>
        <w:rPr>
          <w:b/>
        </w:rPr>
        <w:t xml:space="preserve">Section mapping: </w:t>
      </w:r>
      <w:r>
        <w:t>Sec 287 — old Sec 154</w:t>
      </w:r>
    </w:p>
    <w:p/>
    <w:p>
      <w:r>
        <w:rPr>
          <w:b/>
          <w:color w:val="1F4E79"/>
        </w:rPr>
        <w:t>T.S. Balaram v. Volkart Brothers</w:t>
      </w:r>
    </w:p>
    <w:p>
      <w:r>
        <w:rPr>
          <w:i/>
          <w:sz w:val="20"/>
        </w:rPr>
        <w:t>(1971) 82 ITR 50 (SC)  |  Supreme Court | 1971</w:t>
      </w:r>
    </w:p>
    <w:p>
      <w:r>
        <w:rPr>
          <w:b/>
        </w:rPr>
        <w:t xml:space="preserve">Principle: </w:t>
      </w:r>
      <w:r>
        <w:t>Mistake apparent from record = obvious, patent, requiring no long-drawn reasoning. Debatable points NOT rectifiable.</w:t>
      </w:r>
    </w:p>
    <w:p>
      <w:r>
        <w:rPr>
          <w:b/>
        </w:rPr>
        <w:t xml:space="preserve">Use in app: </w:t>
      </w:r>
      <w:r>
        <w:t>AI: applies in advising on rectification eligibility under Sec 287.</w:t>
      </w:r>
    </w:p>
    <w:p>
      <w:r>
        <w:rPr>
          <w:b/>
        </w:rPr>
        <w:t xml:space="preserve">Section mapping: </w:t>
      </w:r>
      <w:r>
        <w:t>Sec 287</w:t>
      </w:r>
    </w:p>
    <w:p/>
    <w:p>
      <w:r>
        <w:rPr>
          <w:b/>
          <w:color w:val="1F4E79"/>
        </w:rPr>
        <w:t>GKN Driveshafts (India) Ltd. v. ITO</w:t>
      </w:r>
    </w:p>
    <w:p>
      <w:r>
        <w:rPr>
          <w:i/>
          <w:sz w:val="20"/>
        </w:rPr>
        <w:t>(2003) 259 ITR 19 (SC)  |  Supreme Court | 2003</w:t>
      </w:r>
    </w:p>
    <w:p>
      <w:r>
        <w:rPr>
          <w:b/>
        </w:rPr>
        <w:t xml:space="preserve">Principle: </w:t>
      </w:r>
      <w:r>
        <w:t>Reassessment notice procedure: AO must furnish reasons; assessee can file objections; AO must dispose of objections by speaking order.</w:t>
      </w:r>
    </w:p>
    <w:p>
      <w:r>
        <w:rPr>
          <w:b/>
        </w:rPr>
        <w:t xml:space="preserve">Use in app: </w:t>
      </w:r>
      <w:r>
        <w:t>AI: Sec 281 codifies this — informs users about due process rights.</w:t>
      </w:r>
    </w:p>
    <w:p>
      <w:r>
        <w:rPr>
          <w:b/>
        </w:rPr>
        <w:t xml:space="preserve">Section mapping: </w:t>
      </w:r>
      <w:r>
        <w:t>Sec 281</w:t>
      </w:r>
    </w:p>
    <w:p/>
    <w:p>
      <w:r>
        <w:rPr>
          <w:b/>
          <w:color w:val="1F4E79"/>
        </w:rPr>
        <w:t>CIT v. Jet Airways (I) Ltd.</w:t>
      </w:r>
    </w:p>
    <w:p>
      <w:r>
        <w:rPr>
          <w:i/>
          <w:sz w:val="20"/>
        </w:rPr>
        <w:t>(2011) 331 ITR 236 (Bom)  |  Bombay HC | 2011</w:t>
      </w:r>
    </w:p>
    <w:p>
      <w:r>
        <w:rPr>
          <w:b/>
        </w:rPr>
        <w:t xml:space="preserve">Principle: </w:t>
      </w:r>
      <w:r>
        <w:t>Reassessment u/s 147 — if no addition made on the issue for which reopening was done, AO cannot make addition on other issues.</w:t>
      </w:r>
    </w:p>
    <w:p>
      <w:r>
        <w:rPr>
          <w:b/>
        </w:rPr>
        <w:t xml:space="preserve">Use in app: </w:t>
      </w:r>
      <w:r>
        <w:t>Important safeguard against fishing expedition. Per Sec 279.</w:t>
      </w:r>
    </w:p>
    <w:p>
      <w:r>
        <w:rPr>
          <w:b/>
        </w:rPr>
        <w:t xml:space="preserve">Section mapping: </w:t>
      </w:r>
      <w:r>
        <w:t>Sec 279</w:t>
      </w:r>
    </w:p>
    <w:p/>
    <w:p>
      <w:r>
        <w:br w:type="page"/>
      </w:r>
    </w:p>
    <w:p>
      <w:pPr>
        <w:pStyle w:val="Heading1"/>
      </w:pPr>
      <w:r>
        <w:t>Part L — Appeals and Tribunal Procedure (Sections 356-389)</w:t>
      </w:r>
    </w:p>
    <w:p>
      <w:r>
        <w:rPr>
          <w:b/>
          <w:color w:val="1F4E79"/>
        </w:rPr>
        <w:t>CIT v. Mahalaxmi Sugar Mills</w:t>
      </w:r>
    </w:p>
    <w:p>
      <w:r>
        <w:rPr>
          <w:i/>
          <w:sz w:val="20"/>
        </w:rPr>
        <w:t>(1986) 160 ITR 920 (SC)  |  Supreme Court | 1986</w:t>
      </w:r>
    </w:p>
    <w:p>
      <w:r>
        <w:rPr>
          <w:b/>
        </w:rPr>
        <w:t xml:space="preserve">Principle: </w:t>
      </w:r>
      <w:r>
        <w:t>Time limit for appeal — substantial compliance accepted; condonable delay in genuine circumstances.</w:t>
      </w:r>
    </w:p>
    <w:p>
      <w:r>
        <w:rPr>
          <w:b/>
        </w:rPr>
        <w:t xml:space="preserve">Use in app: </w:t>
      </w:r>
      <w:r>
        <w:t>AI: should advise on appeal timelines (60 days to ITAT under Sec 362, 120 days to HC under Sec 365).</w:t>
      </w:r>
    </w:p>
    <w:p>
      <w:r>
        <w:rPr>
          <w:b/>
        </w:rPr>
        <w:t xml:space="preserve">Section mapping: </w:t>
      </w:r>
      <w:r>
        <w:t>Sec 362, 365</w:t>
      </w:r>
    </w:p>
    <w:p/>
    <w:p>
      <w:r>
        <w:rPr>
          <w:b/>
          <w:color w:val="1F4E79"/>
        </w:rPr>
        <w:t>Goetze (India) Ltd. v. CIT</w:t>
      </w:r>
    </w:p>
    <w:p>
      <w:r>
        <w:rPr>
          <w:i/>
          <w:sz w:val="20"/>
        </w:rPr>
        <w:t>(2006) 284 ITR 323 (SC)  |  Supreme Court | 2006</w:t>
      </w:r>
    </w:p>
    <w:p>
      <w:r>
        <w:rPr>
          <w:b/>
        </w:rPr>
        <w:t xml:space="preserve">Principle: </w:t>
      </w:r>
      <w:r>
        <w:t>Appellate authority can entertain claim not made in return — even if AO cannot.</w:t>
      </w:r>
    </w:p>
    <w:p>
      <w:r>
        <w:rPr>
          <w:b/>
        </w:rPr>
        <w:t xml:space="preserve">Use in app: </w:t>
      </w:r>
      <w:r>
        <w:t>AI: lost claims at AO level can be agitated in appeal.</w:t>
      </w:r>
    </w:p>
    <w:p>
      <w:r>
        <w:rPr>
          <w:b/>
        </w:rPr>
        <w:t xml:space="preserve">Section mapping: </w:t>
      </w:r>
      <w:r>
        <w:t>Sec 359 (appellate procedure)</w:t>
      </w:r>
    </w:p>
    <w:p/>
    <w:p>
      <w:r>
        <w:rPr>
          <w:b/>
          <w:color w:val="1F4E79"/>
        </w:rPr>
        <w:t>DCIT v. Mahindra &amp; Mahindra Ltd.</w:t>
      </w:r>
    </w:p>
    <w:p>
      <w:r>
        <w:rPr>
          <w:i/>
          <w:sz w:val="20"/>
        </w:rPr>
        <w:t>(2018) 404 ITR 1 (SC)  |  Supreme Court | 2018</w:t>
      </w:r>
    </w:p>
    <w:p>
      <w:r>
        <w:rPr>
          <w:b/>
        </w:rPr>
        <w:t xml:space="preserve">Principle: </w:t>
      </w:r>
      <w:r>
        <w:t>Settlement / waiver of loan capital = capital receipt, NOT income; cessation of liability under Sec 41(1) doesn't apply to capital loans.</w:t>
      </w:r>
    </w:p>
    <w:p>
      <w:r>
        <w:rPr>
          <w:b/>
        </w:rPr>
        <w:t xml:space="preserve">Use in app: </w:t>
      </w:r>
      <w:r>
        <w:t>AI: distinguishes trading liability (taxable cessation) from capital loan (not taxable).</w:t>
      </w:r>
    </w:p>
    <w:p>
      <w:r>
        <w:rPr>
          <w:b/>
        </w:rPr>
        <w:t xml:space="preserve">Section mapping: </w:t>
      </w:r>
      <w:r>
        <w:t>Sec 38(1)(a) (old 41(1))</w:t>
      </w:r>
    </w:p>
    <w:p/>
    <w:p>
      <w:r>
        <w:br w:type="page"/>
      </w:r>
    </w:p>
    <w:p>
      <w:pPr>
        <w:pStyle w:val="Heading1"/>
      </w:pPr>
      <w:r>
        <w:t>Part M — TDS and TCS (Sections 390-402)</w:t>
      </w:r>
    </w:p>
    <w:p>
      <w:r>
        <w:rPr>
          <w:b/>
          <w:color w:val="1F4E79"/>
        </w:rPr>
        <w:t>CIT v. Bhagwati Steels</w:t>
      </w:r>
    </w:p>
    <w:p>
      <w:r>
        <w:rPr>
          <w:i/>
          <w:sz w:val="20"/>
        </w:rPr>
        <w:t>(2010) 326 ITR 108 (P&amp;H)  |  Punjab &amp; Haryana HC | 2010</w:t>
      </w:r>
    </w:p>
    <w:p>
      <w:r>
        <w:rPr>
          <w:b/>
        </w:rPr>
        <w:t xml:space="preserve">Principle: </w:t>
      </w:r>
      <w:r>
        <w:t>TDS shortfall doesn't affect right of assessee to claim refund — Sec 244A interest payable.</w:t>
      </w:r>
    </w:p>
    <w:p>
      <w:r>
        <w:rPr>
          <w:b/>
        </w:rPr>
        <w:t xml:space="preserve">Use in app: </w:t>
      </w:r>
      <w:r>
        <w:t>AI: highlights refund + interest entitlement (Sec 437).</w:t>
      </w:r>
    </w:p>
    <w:p>
      <w:r>
        <w:rPr>
          <w:b/>
        </w:rPr>
        <w:t xml:space="preserve">Section mapping: </w:t>
      </w:r>
      <w:r>
        <w:t>Sec 437</w:t>
      </w:r>
    </w:p>
    <w:p/>
    <w:p>
      <w:r>
        <w:rPr>
          <w:b/>
          <w:color w:val="1F4E79"/>
        </w:rPr>
        <w:t>GE India Technology Centre v. CIT</w:t>
      </w:r>
    </w:p>
    <w:p>
      <w:r>
        <w:rPr>
          <w:i/>
          <w:sz w:val="20"/>
        </w:rPr>
        <w:t>(2010) 327 ITR 456 (SC)  |  Supreme Court | 2010</w:t>
      </w:r>
    </w:p>
    <w:p>
      <w:r>
        <w:rPr>
          <w:b/>
        </w:rPr>
        <w:t xml:space="preserve">Principle: </w:t>
      </w:r>
      <w:r>
        <w:t>TDS u/s 195 only required if payment is chargeable to tax in India. If not chargeable, no TDS.</w:t>
      </w:r>
    </w:p>
    <w:p>
      <w:r>
        <w:rPr>
          <w:b/>
        </w:rPr>
        <w:t xml:space="preserve">Use in app: </w:t>
      </w:r>
      <w:r>
        <w:t>Foundational for cross-border TDS analysis. AI uses for Sec 393 NR payments.</w:t>
      </w:r>
    </w:p>
    <w:p>
      <w:r>
        <w:rPr>
          <w:b/>
        </w:rPr>
        <w:t xml:space="preserve">Section mapping: </w:t>
      </w:r>
      <w:r>
        <w:t>Sec 393 / Sec 9</w:t>
      </w:r>
    </w:p>
    <w:p/>
    <w:p>
      <w:r>
        <w:rPr>
          <w:b/>
          <w:color w:val="1F4E79"/>
        </w:rPr>
        <w:t>Hindustan Coca-Cola Beverages v. CIT</w:t>
      </w:r>
    </w:p>
    <w:p>
      <w:r>
        <w:rPr>
          <w:i/>
          <w:sz w:val="20"/>
        </w:rPr>
        <w:t>(2007) 293 ITR 226 (SC)  |  Supreme Court | 2007</w:t>
      </w:r>
    </w:p>
    <w:p>
      <w:r>
        <w:rPr>
          <w:b/>
        </w:rPr>
        <w:t xml:space="preserve">Principle: </w:t>
      </w:r>
      <w:r>
        <w:t>TDS default disallowance u/s 40(a)(ia) — if recipient has paid tax, deductor not deemed in default for purposes of disallowance.</w:t>
      </w:r>
    </w:p>
    <w:p>
      <w:r>
        <w:rPr>
          <w:b/>
        </w:rPr>
        <w:t xml:space="preserve">Use in app: </w:t>
      </w:r>
      <w:r>
        <w:t>AI uses for Sec 35(b) disallowance — payee's tax payment relieves deductor.</w:t>
      </w:r>
    </w:p>
    <w:p>
      <w:r>
        <w:rPr>
          <w:b/>
        </w:rPr>
        <w:t xml:space="preserve">Section mapping: </w:t>
      </w:r>
      <w:r>
        <w:t>Sec 35(b) / Sec 398(2)</w:t>
      </w:r>
    </w:p>
    <w:p/>
    <w:p>
      <w:r>
        <w:rPr>
          <w:b/>
          <w:color w:val="1F4E79"/>
        </w:rPr>
        <w:t>Engineering Analysis Centre of Excellence v. CIT</w:t>
      </w:r>
    </w:p>
    <w:p>
      <w:r>
        <w:rPr>
          <w:i/>
          <w:sz w:val="20"/>
        </w:rPr>
        <w:t>(2021) 432 ITR 471 (SC)  |  Supreme Court | 2021</w:t>
      </w:r>
    </w:p>
    <w:p>
      <w:r>
        <w:rPr>
          <w:b/>
        </w:rPr>
        <w:t xml:space="preserve">Principle: </w:t>
      </w:r>
      <w:r>
        <w:t>Standard software payments to foreign suppliers NOT subject to TDS u/s 195 as not royalty under DTAA.</w:t>
      </w:r>
    </w:p>
    <w:p>
      <w:r>
        <w:rPr>
          <w:b/>
        </w:rPr>
        <w:t xml:space="preserve">Use in app: </w:t>
      </w:r>
      <w:r>
        <w:t>AI: applies to Sec 393 TDS on cross-border software / SaaS payments.</w:t>
      </w:r>
    </w:p>
    <w:p>
      <w:r>
        <w:rPr>
          <w:b/>
        </w:rPr>
        <w:t xml:space="preserve">Section mapping: </w:t>
      </w:r>
      <w:r>
        <w:t>Sec 393</w:t>
      </w:r>
    </w:p>
    <w:p/>
    <w:p>
      <w:r>
        <w:br w:type="page"/>
      </w:r>
    </w:p>
    <w:p>
      <w:pPr>
        <w:pStyle w:val="Heading1"/>
      </w:pPr>
      <w:r>
        <w:t>Part N — Penalty and Prosecution (Sections 439-500)</w:t>
      </w:r>
    </w:p>
    <w:p>
      <w:r>
        <w:rPr>
          <w:b/>
          <w:color w:val="1F4E79"/>
        </w:rPr>
        <w:t>CIT v. Reliance Petroproducts</w:t>
      </w:r>
    </w:p>
    <w:p>
      <w:r>
        <w:rPr>
          <w:i/>
          <w:sz w:val="20"/>
        </w:rPr>
        <w:t>(2010) 322 ITR 158 (SC)  |  Supreme Court | 2010</w:t>
      </w:r>
    </w:p>
    <w:p>
      <w:r>
        <w:rPr>
          <w:b/>
        </w:rPr>
        <w:t xml:space="preserve">Principle: </w:t>
      </w:r>
      <w:r>
        <w:t>Sec 271(1)(c) penalty for concealment: mere making of incorrect claim doesn't = furnishing inaccurate particulars. Bona fide claim disclosed in return = no penalty.</w:t>
      </w:r>
    </w:p>
    <w:p>
      <w:r>
        <w:rPr>
          <w:b/>
        </w:rPr>
        <w:t xml:space="preserve">Use in app: </w:t>
      </w:r>
      <w:r>
        <w:t>AI: educates users that disclosed claims, even if disallowed, don't attract penalty under Sec 439.</w:t>
      </w:r>
    </w:p>
    <w:p>
      <w:r>
        <w:rPr>
          <w:b/>
        </w:rPr>
        <w:t xml:space="preserve">Section mapping: </w:t>
      </w:r>
      <w:r>
        <w:t>Sec 439 (under-reporting / mis-reporting) — old Sec 270A / 271(1)(c)</w:t>
      </w:r>
    </w:p>
    <w:p/>
    <w:p>
      <w:r>
        <w:rPr>
          <w:b/>
          <w:color w:val="1F4E79"/>
        </w:rPr>
        <w:t>Hindustan Steel Ltd. v. State of Orissa</w:t>
      </w:r>
    </w:p>
    <w:p>
      <w:r>
        <w:rPr>
          <w:i/>
          <w:sz w:val="20"/>
        </w:rPr>
        <w:t>(1972) 83 ITR 26 (SC)  |  Supreme Court | 1972</w:t>
      </w:r>
    </w:p>
    <w:p>
      <w:r>
        <w:rPr>
          <w:b/>
        </w:rPr>
        <w:t xml:space="preserve">Principle: </w:t>
      </w:r>
      <w:r>
        <w:t>Penalty discretionary — not to be imposed for technical breaches without contumacious conduct.</w:t>
      </w:r>
    </w:p>
    <w:p>
      <w:r>
        <w:rPr>
          <w:b/>
        </w:rPr>
        <w:t xml:space="preserve">Use in app: </w:t>
      </w:r>
      <w:r>
        <w:t>AI: penalty waiver / reduction grounds under Sec 469.</w:t>
      </w:r>
    </w:p>
    <w:p>
      <w:r>
        <w:rPr>
          <w:b/>
        </w:rPr>
        <w:t xml:space="preserve">Section mapping: </w:t>
      </w:r>
      <w:r>
        <w:t>Sec 469 (penalty waiver)</w:t>
      </w:r>
    </w:p>
    <w:p/>
    <w:p>
      <w:r>
        <w:rPr>
          <w:b/>
          <w:color w:val="1F4E79"/>
        </w:rPr>
        <w:t>MAK Data P. Ltd. v. CIT</w:t>
      </w:r>
    </w:p>
    <w:p>
      <w:r>
        <w:rPr>
          <w:i/>
          <w:sz w:val="20"/>
        </w:rPr>
        <w:t>(2013) 358 ITR 593 (SC)  |  Supreme Court | 2013</w:t>
      </w:r>
    </w:p>
    <w:p>
      <w:r>
        <w:rPr>
          <w:b/>
        </w:rPr>
        <w:t xml:space="preserve">Principle: </w:t>
      </w:r>
      <w:r>
        <w:t>Penalty for concealment: voluntary disclosure during assessment doesn't automatically save from penalty if originally concealed in return.</w:t>
      </w:r>
    </w:p>
    <w:p>
      <w:r>
        <w:rPr>
          <w:b/>
        </w:rPr>
        <w:t xml:space="preserve">Use in app: </w:t>
      </w:r>
      <w:r>
        <w:t>AI: should encourage upfront disclosure to avoid penalty exposure under Sec 439.</w:t>
      </w:r>
    </w:p>
    <w:p>
      <w:r>
        <w:rPr>
          <w:b/>
        </w:rPr>
        <w:t xml:space="preserve">Section mapping: </w:t>
      </w:r>
      <w:r>
        <w:t>Sec 439</w:t>
      </w:r>
    </w:p>
    <w:p/>
    <w:p>
      <w:r>
        <w:rPr>
          <w:b/>
          <w:color w:val="1F4E79"/>
        </w:rPr>
        <w:t>Sundaram Finance Ltd. v. ACIT</w:t>
      </w:r>
    </w:p>
    <w:p>
      <w:r>
        <w:rPr>
          <w:i/>
          <w:sz w:val="20"/>
        </w:rPr>
        <w:t>(2018) 403 ITR 407 (SC)  |  Supreme Court | 2018</w:t>
      </w:r>
    </w:p>
    <w:p>
      <w:r>
        <w:rPr>
          <w:b/>
        </w:rPr>
        <w:t xml:space="preserve">Principle: </w:t>
      </w:r>
      <w:r>
        <w:t>Penalty notice must specify ground (concealment OR inaccurate particulars). Ambiguous notice = invalid.</w:t>
      </w:r>
    </w:p>
    <w:p>
      <w:r>
        <w:rPr>
          <w:b/>
        </w:rPr>
        <w:t xml:space="preserve">Use in app: </w:t>
      </w:r>
      <w:r>
        <w:t>AI: procedural advice for penalty notices under Sec 471.</w:t>
      </w:r>
    </w:p>
    <w:p>
      <w:r>
        <w:rPr>
          <w:b/>
        </w:rPr>
        <w:t xml:space="preserve">Section mapping: </w:t>
      </w:r>
      <w:r>
        <w:t>Sec 471</w:t>
      </w:r>
    </w:p>
    <w:p/>
    <w:p>
      <w:r>
        <w:br w:type="page"/>
      </w:r>
    </w:p>
    <w:p>
      <w:pPr>
        <w:pStyle w:val="Heading1"/>
      </w:pPr>
      <w:r>
        <w:t>Part O — Refunds and Interest (Sections 423-438)</w:t>
      </w:r>
    </w:p>
    <w:p>
      <w:r>
        <w:rPr>
          <w:b/>
          <w:color w:val="1F4E79"/>
        </w:rPr>
        <w:t>CIT v. Gujarat Fluoro Chemicals</w:t>
      </w:r>
    </w:p>
    <w:p>
      <w:r>
        <w:rPr>
          <w:i/>
          <w:sz w:val="20"/>
        </w:rPr>
        <w:t>(2014) 358 ITR 291 (SC)  |  Supreme Court | 2014</w:t>
      </w:r>
    </w:p>
    <w:p>
      <w:r>
        <w:rPr>
          <w:b/>
        </w:rPr>
        <w:t xml:space="preserve">Principle: </w:t>
      </w:r>
      <w:r>
        <w:t>Interest on interest on refund NOT payable in absence of statutory provision.</w:t>
      </w:r>
    </w:p>
    <w:p>
      <w:r>
        <w:rPr>
          <w:b/>
        </w:rPr>
        <w:t xml:space="preserve">Use in app: </w:t>
      </w:r>
      <w:r>
        <w:t>AI: only Sec 437 interest payable on refund principal; no compound interest.</w:t>
      </w:r>
    </w:p>
    <w:p>
      <w:r>
        <w:rPr>
          <w:b/>
        </w:rPr>
        <w:t xml:space="preserve">Section mapping: </w:t>
      </w:r>
      <w:r>
        <w:t>Sec 437</w:t>
      </w:r>
    </w:p>
    <w:p/>
    <w:p>
      <w:r>
        <w:rPr>
          <w:b/>
          <w:color w:val="1F4E79"/>
        </w:rPr>
        <w:t>Mafatlal Industries Ltd. v. UOI</w:t>
      </w:r>
    </w:p>
    <w:p>
      <w:r>
        <w:rPr>
          <w:i/>
          <w:sz w:val="20"/>
        </w:rPr>
        <w:t>(1997) 89 ELT 247 (SC)  |  Supreme Court | 1997</w:t>
      </w:r>
    </w:p>
    <w:p>
      <w:r>
        <w:rPr>
          <w:b/>
        </w:rPr>
        <w:t xml:space="preserve">Principle: </w:t>
      </w:r>
      <w:r>
        <w:t>Refund of taxes paid under mistake of law: governed by special statute provisions; doctrine of unjust enrichment may apply.</w:t>
      </w:r>
    </w:p>
    <w:p>
      <w:r>
        <w:rPr>
          <w:b/>
        </w:rPr>
        <w:t xml:space="preserve">Use in app: </w:t>
      </w:r>
      <w:r>
        <w:t>AI: references for refund disputes.</w:t>
      </w:r>
    </w:p>
    <w:p>
      <w:r>
        <w:rPr>
          <w:b/>
        </w:rPr>
        <w:t xml:space="preserve">Section mapping: </w:t>
      </w:r>
      <w:r>
        <w:t>Sec 427+</w:t>
      </w:r>
    </w:p>
    <w:p/>
    <w:p>
      <w:r>
        <w:rPr>
          <w:b/>
          <w:color w:val="1F4E79"/>
        </w:rPr>
        <w:t>CIT v. Anjum M.H. Ghaswala</w:t>
      </w:r>
    </w:p>
    <w:p>
      <w:r>
        <w:rPr>
          <w:i/>
          <w:sz w:val="20"/>
        </w:rPr>
        <w:t>(2001) 252 ITR 1 (SC)  |  Supreme Court | 2001</w:t>
      </w:r>
    </w:p>
    <w:p>
      <w:r>
        <w:rPr>
          <w:b/>
        </w:rPr>
        <w:t xml:space="preserve">Principle: </w:t>
      </w:r>
      <w:r>
        <w:t>Settlement Commission orders binding; cannot be re-opened on same facts.</w:t>
      </w:r>
    </w:p>
    <w:p>
      <w:r>
        <w:rPr>
          <w:b/>
        </w:rPr>
        <w:t xml:space="preserve">Use in app: </w:t>
      </w:r>
      <w:r>
        <w:t>AI: relevant for DRC under Sec 379.</w:t>
      </w:r>
    </w:p>
    <w:p>
      <w:r>
        <w:rPr>
          <w:b/>
        </w:rPr>
        <w:t xml:space="preserve">Section mapping: </w:t>
      </w:r>
      <w:r>
        <w:t>Sec 379</w:t>
      </w:r>
    </w:p>
    <w:p/>
    <w:p>
      <w:r>
        <w:br w:type="page"/>
      </w:r>
    </w:p>
    <w:p>
      <w:pPr>
        <w:pStyle w:val="Heading1"/>
      </w:pPr>
      <w:r>
        <w:t>Part P — Recent key decisions (post-2020)</w:t>
      </w:r>
    </w:p>
    <w:p>
      <w:r>
        <w:rPr>
          <w:b/>
          <w:color w:val="1F4E79"/>
        </w:rPr>
        <w:t>PCIT v. Maruti Suzuki India Ltd.</w:t>
      </w:r>
    </w:p>
    <w:p>
      <w:r>
        <w:rPr>
          <w:i/>
          <w:sz w:val="20"/>
        </w:rPr>
        <w:t>(2019) 416 ITR 613 (SC)  |  Supreme Court | 2019</w:t>
      </w:r>
    </w:p>
    <w:p>
      <w:r>
        <w:rPr>
          <w:b/>
        </w:rPr>
        <w:t xml:space="preserve">Principle: </w:t>
      </w:r>
      <w:r>
        <w:t>Reassessment notice issued on amalgamating company (which has ceased to exist) is invalid. Mere mention of correct PAN doesn't cure jurisdictional defect.</w:t>
      </w:r>
    </w:p>
    <w:p>
      <w:r>
        <w:rPr>
          <w:b/>
        </w:rPr>
        <w:t xml:space="preserve">Use in app: </w:t>
      </w:r>
      <w:r>
        <w:t>AI: critical for amalgamation cases — assessment must be on amalgamated entity.</w:t>
      </w:r>
    </w:p>
    <w:p>
      <w:r>
        <w:rPr>
          <w:b/>
        </w:rPr>
        <w:t xml:space="preserve">Section mapping: </w:t>
      </w:r>
      <w:r>
        <w:t>Sec 279</w:t>
      </w:r>
    </w:p>
    <w:p/>
    <w:p>
      <w:r>
        <w:rPr>
          <w:b/>
          <w:color w:val="1F4E79"/>
        </w:rPr>
        <w:t>PCIT v. Wipro Ltd.</w:t>
      </w:r>
    </w:p>
    <w:p>
      <w:r>
        <w:rPr>
          <w:i/>
          <w:sz w:val="20"/>
        </w:rPr>
        <w:t>(2022) 446 ITR 1 (SC)  |  Supreme Court | 2022</w:t>
      </w:r>
    </w:p>
    <w:p>
      <w:r>
        <w:rPr>
          <w:b/>
        </w:rPr>
        <w:t xml:space="preserve">Principle: </w:t>
      </w:r>
      <w:r>
        <w:t>Sec 10A/10B/10AA exemption: assessee cannot revoke exemption after filing return. Exemption choice irrevocable for that AY.</w:t>
      </w:r>
    </w:p>
    <w:p>
      <w:r>
        <w:rPr>
          <w:b/>
        </w:rPr>
        <w:t xml:space="preserve">Use in app: </w:t>
      </w:r>
      <w:r>
        <w:t>AI: choice between SEZ exemption and other regimes binding for the year.</w:t>
      </w:r>
    </w:p>
    <w:p>
      <w:r>
        <w:rPr>
          <w:b/>
        </w:rPr>
        <w:t xml:space="preserve">Section mapping: </w:t>
      </w:r>
      <w:r>
        <w:t>Sec 144 (10AA equivalent)</w:t>
      </w:r>
    </w:p>
    <w:p/>
    <w:p>
      <w:r>
        <w:rPr>
          <w:b/>
          <w:color w:val="1F4E79"/>
        </w:rPr>
        <w:t>Checkmate Services Pvt. Ltd. v. CIT</w:t>
      </w:r>
    </w:p>
    <w:p>
      <w:r>
        <w:rPr>
          <w:i/>
          <w:sz w:val="20"/>
        </w:rPr>
        <w:t>(2022) 448 ITR 518 (SC)  |  Supreme Court | 2022</w:t>
      </w:r>
    </w:p>
    <w:p>
      <w:r>
        <w:rPr>
          <w:b/>
        </w:rPr>
        <w:t xml:space="preserve">Principle: </w:t>
      </w:r>
      <w:r>
        <w:t>Employee PF/ESI contribution payable by due date under PF/ESI Act (NOT Sec 43B). Disallowance applies if missed.</w:t>
      </w:r>
    </w:p>
    <w:p>
      <w:r>
        <w:rPr>
          <w:b/>
        </w:rPr>
        <w:t xml:space="preserve">Use in app: </w:t>
      </w:r>
      <w:r>
        <w:t>AI: critical for Sec 29(1)(e) — employee contribution to be credited by PF/ESI due date, not return-filing date.</w:t>
      </w:r>
    </w:p>
    <w:p>
      <w:r>
        <w:rPr>
          <w:b/>
        </w:rPr>
        <w:t xml:space="preserve">Section mapping: </w:t>
      </w:r>
      <w:r>
        <w:t>Sec 29(1)(e) — old 36(1)(va)</w:t>
      </w:r>
    </w:p>
    <w:p/>
    <w:p>
      <w:r>
        <w:rPr>
          <w:b/>
          <w:color w:val="1F4E79"/>
        </w:rPr>
        <w:t>Union of India v. Mohit Minerals Pvt. Ltd.</w:t>
      </w:r>
    </w:p>
    <w:p>
      <w:r>
        <w:rPr>
          <w:i/>
          <w:sz w:val="20"/>
        </w:rPr>
        <w:t>(2022) 444 ITR 1 (SC)  |  Supreme Court | 2022</w:t>
      </w:r>
    </w:p>
    <w:p>
      <w:r>
        <w:rPr>
          <w:b/>
        </w:rPr>
        <w:t xml:space="preserve">Principle: </w:t>
      </w:r>
      <w:r>
        <w:t>GST recommendations of GST Council not binding on Parliament/States. Federalism reaffirmed.</w:t>
      </w:r>
    </w:p>
    <w:p>
      <w:r>
        <w:rPr>
          <w:b/>
        </w:rPr>
        <w:t xml:space="preserve">Use in app: </w:t>
      </w:r>
      <w:r>
        <w:t>AI: relevant for indirect tax / GST classification (separate from income tax).</w:t>
      </w:r>
    </w:p>
    <w:p>
      <w:r>
        <w:rPr>
          <w:b/>
        </w:rPr>
        <w:t xml:space="preserve">Section mapping: </w:t>
      </w:r>
      <w:r>
        <w:t>Indirect tax — collateral relevance</w:t>
      </w:r>
    </w:p>
    <w:p/>
    <w:p>
      <w:r>
        <w:rPr>
          <w:b/>
          <w:color w:val="1F4E79"/>
        </w:rPr>
        <w:t>PCIT v. ABC Papers Ltd.</w:t>
      </w:r>
    </w:p>
    <w:p>
      <w:r>
        <w:rPr>
          <w:i/>
          <w:sz w:val="20"/>
        </w:rPr>
        <w:t>(2022) 447 ITR 1 (SC)  |  Supreme Court | 2022</w:t>
      </w:r>
    </w:p>
    <w:p>
      <w:r>
        <w:rPr>
          <w:b/>
        </w:rPr>
        <w:t xml:space="preserve">Principle: </w:t>
      </w:r>
      <w:r>
        <w:t>Place of assessment determines High Court jurisdiction for ITAT appeals.</w:t>
      </w:r>
    </w:p>
    <w:p>
      <w:r>
        <w:rPr>
          <w:b/>
        </w:rPr>
        <w:t xml:space="preserve">Use in app: </w:t>
      </w:r>
      <w:r>
        <w:t>AI: practical jurisdictional advice.</w:t>
      </w:r>
    </w:p>
    <w:p>
      <w:r>
        <w:rPr>
          <w:b/>
        </w:rPr>
        <w:t xml:space="preserve">Section mapping: </w:t>
      </w:r>
      <w:r>
        <w:t>Sec 365</w:t>
      </w:r>
    </w:p>
    <w:p/>
    <w:p>
      <w:r>
        <w:br w:type="page"/>
      </w:r>
    </w:p>
    <w:p>
      <w:pPr>
        <w:pStyle w:val="Heading1"/>
      </w:pPr>
      <w:r>
        <w:t>Part Q — Frequently-cited ITAT / HC decisions</w:t>
      </w:r>
    </w:p>
    <w:p>
      <w:pPr>
        <w:pStyle w:val="Heading2"/>
      </w:pPr>
      <w:r>
        <w:t>Q.1 Salary perquisites</w:t>
      </w:r>
    </w:p>
    <w:p>
      <w:r>
        <w:rPr>
          <w:b/>
          <w:color w:val="1F4E79"/>
        </w:rPr>
        <w:t>Suresh Bhatia v. ITO</w:t>
      </w:r>
    </w:p>
    <w:p>
      <w:r>
        <w:rPr>
          <w:i/>
          <w:sz w:val="20"/>
        </w:rPr>
        <w:t>(2010) 132 TTJ 432 (Mum)  |  ITAT Mumbai | 2010</w:t>
      </w:r>
    </w:p>
    <w:p>
      <w:r>
        <w:rPr>
          <w:b/>
        </w:rPr>
        <w:t xml:space="preserve">Principle: </w:t>
      </w:r>
      <w:r>
        <w:t>Free meals via meal coupons (Sodexo) within ₹50/meal limit = not perquisite.</w:t>
      </w:r>
    </w:p>
    <w:p>
      <w:r>
        <w:rPr>
          <w:b/>
        </w:rPr>
        <w:t xml:space="preserve">Use in app: </w:t>
      </w:r>
      <w:r>
        <w:t>AI: applies to meal coupon perquisite valuation.</w:t>
      </w:r>
    </w:p>
    <w:p>
      <w:r>
        <w:rPr>
          <w:b/>
        </w:rPr>
        <w:t xml:space="preserve">Section mapping: </w:t>
      </w:r>
      <w:r>
        <w:t>Sec 17(2)(viii) old / corresponding 2025 rules</w:t>
      </w:r>
    </w:p>
    <w:p/>
    <w:p>
      <w:pPr>
        <w:pStyle w:val="Heading2"/>
      </w:pPr>
      <w:r>
        <w:t>Q.2 Capital gains</w:t>
      </w:r>
    </w:p>
    <w:p>
      <w:r>
        <w:rPr>
          <w:b/>
          <w:color w:val="1F4E79"/>
        </w:rPr>
        <w:t>ITO v. Maheshkumar Khemchand Khanna</w:t>
      </w:r>
    </w:p>
    <w:p>
      <w:r>
        <w:rPr>
          <w:i/>
          <w:sz w:val="20"/>
        </w:rPr>
        <w:t>(2014) 33 ITR(T) 161 (Mum)  |  ITAT Mumbai | 2014</w:t>
      </w:r>
    </w:p>
    <w:p>
      <w:r>
        <w:rPr>
          <w:b/>
        </w:rPr>
        <w:t xml:space="preserve">Principle: </w:t>
      </w:r>
      <w:r>
        <w:t>Capital gains exemption u/s 54: investment in property where construction not yet complete is allowed if amount deposited per scheme.</w:t>
      </w:r>
    </w:p>
    <w:p>
      <w:r>
        <w:rPr>
          <w:b/>
        </w:rPr>
        <w:t xml:space="preserve">Use in app: </w:t>
      </w:r>
      <w:r>
        <w:t>AI: cushions Sec 82 timing requirements via Capital Gains Account Scheme.</w:t>
      </w:r>
    </w:p>
    <w:p>
      <w:r>
        <w:rPr>
          <w:b/>
        </w:rPr>
        <w:t xml:space="preserve">Section mapping: </w:t>
      </w:r>
      <w:r>
        <w:t>Sec 82(2) (CGAS)</w:t>
      </w:r>
    </w:p>
    <w:p/>
    <w:p>
      <w:r>
        <w:rPr>
          <w:b/>
          <w:color w:val="1F4E79"/>
        </w:rPr>
        <w:t>Smt. Kalpana Hansraj v. ITO</w:t>
      </w:r>
    </w:p>
    <w:p>
      <w:r>
        <w:rPr>
          <w:i/>
          <w:sz w:val="20"/>
        </w:rPr>
        <w:t>(2017) 79 taxmann.com 22 (Mum)  |  ITAT Mumbai | 2017</w:t>
      </w:r>
    </w:p>
    <w:p>
      <w:r>
        <w:rPr>
          <w:b/>
        </w:rPr>
        <w:t xml:space="preserve">Principle: </w:t>
      </w:r>
      <w:r>
        <w:t>Sec 54F: time limit for construction of new asset is 3 years from transfer. Construction must be substantially complete; possession/registration not mandatory.</w:t>
      </w:r>
    </w:p>
    <w:p>
      <w:r>
        <w:rPr>
          <w:b/>
        </w:rPr>
        <w:t xml:space="preserve">Use in app: </w:t>
      </w:r>
      <w:r>
        <w:t>AI: substantial completion sufficient for Sec 86 exemption.</w:t>
      </w:r>
    </w:p>
    <w:p>
      <w:r>
        <w:rPr>
          <w:b/>
        </w:rPr>
        <w:t xml:space="preserve">Section mapping: </w:t>
      </w:r>
      <w:r>
        <w:t>Sec 86</w:t>
      </w:r>
    </w:p>
    <w:p/>
    <w:p>
      <w:pPr>
        <w:pStyle w:val="Heading2"/>
      </w:pPr>
      <w:r>
        <w:t>Q.3 Other sources / gifts</w:t>
      </w:r>
    </w:p>
    <w:p>
      <w:r>
        <w:rPr>
          <w:b/>
          <w:color w:val="1F4E79"/>
        </w:rPr>
        <w:t>ITO v. M.K. Mathivathanan</w:t>
      </w:r>
    </w:p>
    <w:p>
      <w:r>
        <w:rPr>
          <w:i/>
          <w:sz w:val="20"/>
        </w:rPr>
        <w:t>(2019) 76 ITR(T) 1 (Chennai)  |  ITAT Chennai | 2019</w:t>
      </w:r>
    </w:p>
    <w:p>
      <w:r>
        <w:rPr>
          <w:b/>
        </w:rPr>
        <w:t xml:space="preserve">Principle: </w:t>
      </w:r>
      <w:r>
        <w:t>Gift through banking channel from non-resident relative — accepted as exempt under Sec 56(2)(x) (now Sec 92(2)(m)).</w:t>
      </w:r>
    </w:p>
    <w:p>
      <w:r>
        <w:rPr>
          <w:b/>
        </w:rPr>
        <w:t xml:space="preserve">Use in app: </w:t>
      </w:r>
      <w:r>
        <w:t>AI: validates gifts from defined relatives, even cross-border.</w:t>
      </w:r>
    </w:p>
    <w:p>
      <w:r>
        <w:rPr>
          <w:b/>
        </w:rPr>
        <w:t xml:space="preserve">Section mapping: </w:t>
      </w:r>
      <w:r>
        <w:t>Sec 92(3)(a)</w:t>
      </w:r>
    </w:p>
    <w:p/>
    <w:p>
      <w:pPr>
        <w:pStyle w:val="Heading2"/>
      </w:pPr>
      <w:r>
        <w:t>Q.4 Penalty under Sec 270A / 271(1)(c)</w:t>
      </w:r>
    </w:p>
    <w:p>
      <w:r>
        <w:rPr>
          <w:b/>
          <w:color w:val="1F4E79"/>
        </w:rPr>
        <w:t>Pr. CIT v. Babuji Jacob</w:t>
      </w:r>
    </w:p>
    <w:p>
      <w:r>
        <w:rPr>
          <w:i/>
          <w:sz w:val="20"/>
        </w:rPr>
        <w:t>(2018) 90 taxmann.com 9 (Mad)  |  Madras HC | 2018</w:t>
      </w:r>
    </w:p>
    <w:p>
      <w:r>
        <w:rPr>
          <w:b/>
        </w:rPr>
        <w:t xml:space="preserve">Principle: </w:t>
      </w:r>
      <w:r>
        <w:t>Penalty notice must specify limb (concealment vs inaccurate particulars). Both can't be invoked.</w:t>
      </w:r>
    </w:p>
    <w:p>
      <w:r>
        <w:rPr>
          <w:b/>
        </w:rPr>
        <w:t xml:space="preserve">Use in app: </w:t>
      </w:r>
      <w:r>
        <w:t>AI: educates users on procedural defences against vague penalty notices.</w:t>
      </w:r>
    </w:p>
    <w:p>
      <w:r>
        <w:rPr>
          <w:b/>
        </w:rPr>
        <w:t xml:space="preserve">Section mapping: </w:t>
      </w:r>
      <w:r>
        <w:t>Sec 471</w:t>
      </w:r>
    </w:p>
    <w:p/>
    <w:p>
      <w:r>
        <w:br w:type="page"/>
      </w:r>
    </w:p>
    <w:p>
      <w:pPr>
        <w:pStyle w:val="Heading1"/>
      </w:pPr>
      <w:r>
        <w:t>Citation rules for the AI app</w:t>
      </w:r>
    </w:p>
    <w:p>
      <w:r>
        <w:t>When the AI engine retrieves and uses these cases, it must follow these conventions:</w:t>
      </w:r>
    </w:p>
    <w:p>
      <w:pPr>
        <w:pStyle w:val="ListBullet"/>
      </w:pPr>
      <w:r>
        <w:t>1. Always quote the case name + citation + court + year.</w:t>
      </w:r>
    </w:p>
    <w:p>
      <w:pPr>
        <w:pStyle w:val="ListBullet"/>
      </w:pPr>
      <w:r>
        <w:t>2. Always state the year of the relevant 2025 Act section the case maps to.</w:t>
      </w:r>
    </w:p>
    <w:p>
      <w:pPr>
        <w:pStyle w:val="ListBullet"/>
      </w:pPr>
      <w:r>
        <w:t>3. Always end with a disclaimer: 'Verify current status before reliance' OR 'Consult a CA before final filing'.</w:t>
      </w:r>
    </w:p>
    <w:p>
      <w:pPr>
        <w:pStyle w:val="ListBullet"/>
      </w:pPr>
      <w:r>
        <w:t>4. Distinguish: (a) settled SC law (high reliance), (b) HC law subject to other-HC contrary view (medium reliance), (c) ITAT (persuasive but fact-specific).</w:t>
      </w:r>
    </w:p>
    <w:p>
      <w:pPr>
        <w:pStyle w:val="ListBullet"/>
      </w:pPr>
      <w:r>
        <w:t>5. Note OVERRULED / DISTINGUISHED status — for example: B.C. Srinivasa Setty overruled by Sec 90(3); CIT v. Mahendra Mills overruled by Sec 33(7).</w:t>
      </w:r>
    </w:p>
    <w:p>
      <w:pPr>
        <w:pStyle w:val="ListBullet"/>
      </w:pPr>
      <w:r>
        <w:t>6. For 1961 Act cases applying to 2025 Act provisions: confirm the wording is substantially the same — case law continues only where wording carries over.</w:t>
      </w:r>
    </w:p>
    <w:p>
      <w:pPr>
        <w:pStyle w:val="ListBullet"/>
      </w:pPr>
      <w:r>
        <w:t>7. For taxation of specific items (gifts, capital gains, etc.) where multiple HCs differ: present both views; do NOT adopt one without alerting user.</w:t>
      </w:r>
    </w:p>
    <w:p>
      <w:pPr>
        <w:pStyle w:val="Heading2"/>
      </w:pPr>
      <w:r>
        <w:t>Output template the AI should use:</w:t>
      </w:r>
    </w:p>
    <w:p>
      <w:r>
        <w:t>Question: "Is gift from my brother taxable?"</w:t>
      </w:r>
    </w:p>
    <w:p>
      <w:r>
        <w:t>Recommended response template:</w:t>
      </w:r>
    </w:p>
    <w:p>
      <w:r>
        <w:rPr>
          <w:i/>
        </w:rPr>
        <w:t>"No, gift from your brother is not taxable. Section 92(2)(m) read with Section 92(3)(a) of the Income-tax Act, 2025 (corresponding to old Section 56(2)(x) of the 1961 Act) provides that gifts received from 'relative' are not taxable. Section 2(94) defines 'relative' to include brother. This is supported by ITO v. M.K. Mathivathanan (ITAT Chennai 2019) which confirmed gifts from siblings — even through banking channel from non-resident — are exempt. [Disclaimer: This is general guidance. Consult a CA for your specific facts before filing.]"</w:t>
      </w:r>
    </w:p>
    <w:p>
      <w:pPr>
        <w:pStyle w:val="Heading1"/>
      </w:pPr>
      <w:r>
        <w:t>What's missing — be honest with the user</w:t>
      </w:r>
    </w:p>
    <w:p>
      <w:r>
        <w:t>This compendium has 90+ cases across all major income-tax topics. It is curated, not exhaustive. For a production AI ITR app, you'll want to:</w:t>
      </w:r>
    </w:p>
    <w:p>
      <w:pPr>
        <w:pStyle w:val="ListBullet"/>
      </w:pPr>
      <w:r>
        <w:t>Add another 200-300 cases as the app encounters more user questions (build feedback loop).</w:t>
      </w:r>
    </w:p>
    <w:p>
      <w:pPr>
        <w:pStyle w:val="ListBullet"/>
      </w:pPr>
      <w:r>
        <w:t>Subscribe to a paid case-law database (Manupatra / SCC Online) for full-text retrieval.</w:t>
      </w:r>
    </w:p>
    <w:p>
      <w:pPr>
        <w:pStyle w:val="ListBullet"/>
      </w:pPr>
      <w:r>
        <w:t>Build a case-law-update pipeline that refreshes monthly with new SC / HC / ITAT decisions.</w:t>
      </w:r>
    </w:p>
    <w:p>
      <w:pPr>
        <w:pStyle w:val="ListBullet"/>
      </w:pPr>
      <w:r>
        <w:t>Have a CA / Tax lawyer review the case selection annually to refresh / remove obsolete entries.</w:t>
      </w:r>
    </w:p>
    <w:p>
      <w:pPr>
        <w:pStyle w:val="ListBullet"/>
      </w:pPr>
      <w:r>
        <w:t>For sensitive areas (penalty, prosecution, search), require human (CA) review — do not rely solely on AI.</w:t>
      </w:r>
    </w:p>
    <w:p>
      <w:r/>
    </w:p>
    <w:p>
      <w:r>
        <w:rPr>
          <w:b/>
        </w:rPr>
        <w:t xml:space="preserve">End of compendium. </w:t>
      </w:r>
      <w:r>
        <w:t>All case names, citations, and principles in this document are stated to the best of my knowledge as of May 2025. They MUST be verified against current case-law databases before being relied upon for any user advice in production. Tax law in India evolves rapidly; assume any case may have been distinguished or overruled by subsequent decisions.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