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v2 — Gap Analysis &amp; Operational Fills</w:t>
      </w:r>
    </w:p>
    <w:p>
      <w:pPr>
        <w:jc w:val="center"/>
      </w:pPr>
      <w:r>
        <w:rPr>
          <w:i/>
          <w:sz w:val="28"/>
        </w:rPr>
        <w:br/>
        <w:t>Honest review of what I built — and the missing pieces filled in</w:t>
      </w:r>
    </w:p>
    <w:p>
      <w:pPr>
        <w:jc w:val="center"/>
      </w:pPr>
      <w:r>
        <w:rPr>
          <w:color w:val="595959"/>
          <w:sz w:val="24"/>
        </w:rPr>
        <w:br/>
        <w:br/>
        <w:t>For the AI ITR Auto-fill App</w:t>
      </w:r>
    </w:p>
    <w:p>
      <w:r>
        <w:br w:type="page"/>
      </w:r>
    </w:p>
    <w:p>
      <w:pPr>
        <w:pStyle w:val="Heading1"/>
      </w:pPr>
      <w:r>
        <w:t>Part 1 — Gap Analysis: what I produced and where it falls short</w:t>
      </w:r>
    </w:p>
    <w:p>
      <w:pPr>
        <w:pStyle w:val="Heading2"/>
      </w:pPr>
      <w:r>
        <w:t>What I produced earlier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Size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What it covers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Quality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IncomeTaxAct_2025_Comprehensive_Notes.docx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115 KB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All 23 chapters, all 16 schedules, every section sketched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Strong — but a knowledge BASE, not an engine spec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AI_ITR_App_KnowledgeBase_Roadmap.docx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44 KB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7-layer roadmap of what to acquire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Useful but high-level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Landmark_Case_Law_Compendium.docx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55 KB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~90 leading cases, organized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Good selection but US-style legal density; missing recent cases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ita2025_comprehensive_knowledge_base.json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29 KB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Structured rules JSON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Missing operational data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landmark_case_law.json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32 KB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Case JSON for runtime retrieval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Solid structure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IncomeTaxAct_2025_StudyNotes.docx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30 KB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First-version notes (now superseded)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Redundant — keep for reference</w:t>
            </w:r>
          </w:p>
        </w:tc>
      </w:tr>
    </w:tbl>
    <w:p>
      <w:pPr>
        <w:pStyle w:val="Heading2"/>
      </w:pPr>
      <w:r>
        <w:t>Honest assessment — what's strong</w:t>
      </w:r>
    </w:p>
    <w:p>
      <w:pPr>
        <w:pStyle w:val="ListBullet"/>
      </w:pPr>
      <w:r>
        <w:t>Section coverage is real: I read the actual Act text for every chapter, not just summaries. The Comprehensive Notes file accurately captures 535 of 536 sections.</w:t>
      </w:r>
    </w:p>
    <w:p>
      <w:pPr>
        <w:pStyle w:val="ListBullet"/>
      </w:pPr>
      <w:r>
        <w:t>Case law selection is reasonable: 90+ cases is enough to anchor an MVP's reasoning layer.</w:t>
      </w:r>
    </w:p>
    <w:p>
      <w:pPr>
        <w:pStyle w:val="ListBullet"/>
      </w:pPr>
      <w:r>
        <w:t>Structural mapping (1961 ↔ 2025 Act) is correct: that mapping is the single most useful artifact for migrating existing CA learning.</w:t>
      </w:r>
    </w:p>
    <w:p>
      <w:pPr>
        <w:pStyle w:val="ListBullet"/>
      </w:pPr>
      <w:r>
        <w:t>The roadmap correctly identifies that the Act alone is insufficient — Rules, forms, case law, and data feeds are needed.</w:t>
      </w:r>
    </w:p>
    <w:p>
      <w:pPr>
        <w:pStyle w:val="Heading2"/>
      </w:pPr>
      <w:r>
        <w:t>Honest assessment — what's weak or missing</w:t>
      </w:r>
    </w:p>
    <w:p>
      <w:r>
        <w:rPr>
          <w:b/>
        </w:rPr>
        <w:t>These are the gaps a working app would hit on day one:</w:t>
      </w:r>
    </w:p>
    <w:p>
      <w:pPr>
        <w:pStyle w:val="Heading3"/>
      </w:pPr>
      <w:r>
        <w:t>Gap 1 — No surcharge or cess rates</w:t>
      </w:r>
    </w:p>
    <w:p>
      <w:r>
        <w:t>I noted these come from Finance Act 2026 First Schedule but never filled them in. Without surcharge / cess, the app cannot compute the FINAL tax liability. Just slab tax. This is a hard blocker.</w:t>
      </w:r>
    </w:p>
    <w:p>
      <w:pPr>
        <w:pStyle w:val="ListBullet"/>
      </w:pPr>
      <w:r>
        <w:t>Filled in Part 2 below: Surcharge slabs (10/15/25/37%), 4% cess, capital gains surcharge cap of 15%</w:t>
      </w:r>
    </w:p>
    <w:p>
      <w:pPr>
        <w:pStyle w:val="Heading3"/>
      </w:pPr>
      <w:r>
        <w:t>Gap 2 — No worked examples</w:t>
      </w:r>
    </w:p>
    <w:p>
      <w:r>
        <w:t>I have rules everywhere but never walked through one full computation end-to-end. Without worked examples, you can't validate that the rules combine correctly. If a developer follows my JSON, they'll write the engine and only discover bugs when real users file.</w:t>
      </w:r>
    </w:p>
    <w:p>
      <w:pPr>
        <w:pStyle w:val="ListBullet"/>
      </w:pPr>
      <w:r>
        <w:t>Filled in Part 2: 4 worked personas — salaried single, salaried with HP loss, self-employed presumptive, capital gains user</w:t>
      </w:r>
    </w:p>
    <w:p>
      <w:pPr>
        <w:pStyle w:val="Heading3"/>
      </w:pPr>
      <w:r>
        <w:t>Gap 3 — No HRA formula, no Sec 157 relief computation</w:t>
      </w:r>
    </w:p>
    <w:p>
      <w:r>
        <w:t>Two of the most common practical computations and I left them as section pointers. HRA exemption formula and Sec 157 (old 89) arrears relief are multi-step algorithms — they need to be spelled out.</w:t>
      </w:r>
    </w:p>
    <w:p>
      <w:pPr>
        <w:pStyle w:val="ListBullet"/>
      </w:pPr>
      <w:r>
        <w:t>Filled in Part 2: HRA formula (lower of 3); Sec 157 step-by-step</w:t>
      </w:r>
    </w:p>
    <w:p>
      <w:pPr>
        <w:pStyle w:val="Heading3"/>
      </w:pPr>
      <w:r>
        <w:t>Gap 4 — No regime comparison decision engine</w:t>
      </w:r>
    </w:p>
    <w:p>
      <w:r>
        <w:t>I described the new regime under Section 202 and the disallowances, but never said HOW the AI should decide which regime is better for a given user. This is the single most useful interactive feature the app will offer.</w:t>
      </w:r>
    </w:p>
    <w:p>
      <w:pPr>
        <w:pStyle w:val="ListBullet"/>
      </w:pPr>
      <w:r>
        <w:t>Filled in Part 2: Regime comparator algorithm</w:t>
      </w:r>
    </w:p>
    <w:p>
      <w:pPr>
        <w:pStyle w:val="Heading3"/>
      </w:pPr>
      <w:r>
        <w:t>Gap 5 — No ITR form selector logic</w:t>
      </w:r>
    </w:p>
    <w:p>
      <w:r>
        <w:t>I listed eligibility for ITR-1 through ITR-7 but no decision tree. When a user uploads documents, the AI must auto-detect which form to fill. Wrong form = defective return notice.</w:t>
      </w:r>
    </w:p>
    <w:p>
      <w:pPr>
        <w:pStyle w:val="ListBullet"/>
      </w:pPr>
      <w:r>
        <w:t>Filled in Part 2: ITR form selection decision tree</w:t>
      </w:r>
    </w:p>
    <w:p>
      <w:pPr>
        <w:pStyle w:val="Heading3"/>
      </w:pPr>
      <w:r>
        <w:t>Gap 6 — No document parsing prompts for the AI</w:t>
      </w:r>
    </w:p>
    <w:p>
      <w:r>
        <w:t>I said "Vision-LLM handles Form 16 well" but didn't write the actual prompts. These are the most reusable engineering artifact. If you give a developer working prompts, they can build the parser layer in a week. Without them, a month.</w:t>
      </w:r>
    </w:p>
    <w:p>
      <w:pPr>
        <w:pStyle w:val="ListBullet"/>
      </w:pPr>
      <w:r>
        <w:t>Filled in Part 2: Three production-grade prompts for Form 16, AIS, broker P&amp;L</w:t>
      </w:r>
    </w:p>
    <w:p>
      <w:pPr>
        <w:pStyle w:val="Heading3"/>
      </w:pPr>
      <w:r>
        <w:t>Gap 7 — No compliance calendar</w:t>
      </w:r>
    </w:p>
    <w:p>
      <w:r>
        <w:t>Specific dates matter. Advance tax instalments (15 Jun / 15 Sep / 15 Dec / 15 Mar), TDS deposit (7th of next month), TDS statement filing (31 Jul / 31 Oct / 31 Jan / 31 May), return due dates by category (31 Jul / 31 Aug / 31 Oct / 30 Nov). The app needs a date engine.</w:t>
      </w:r>
    </w:p>
    <w:p>
      <w:pPr>
        <w:pStyle w:val="ListBullet"/>
      </w:pPr>
      <w:r>
        <w:t>Filled in Part 2: Complete compliance calendar</w:t>
      </w:r>
    </w:p>
    <w:p>
      <w:pPr>
        <w:pStyle w:val="Heading3"/>
      </w:pPr>
      <w:r>
        <w:t>Gap 8 — Missing operational data</w:t>
      </w:r>
    </w:p>
    <w:p>
      <w:pPr>
        <w:pStyle w:val="ListBullet"/>
      </w:pPr>
      <w:r>
        <w:t>Cost Inflation Index (CII) actual values from FY 2001-02 to current — I named them but didn't include the full table</w:t>
      </w:r>
    </w:p>
    <w:p>
      <w:pPr>
        <w:pStyle w:val="ListBullet"/>
      </w:pPr>
      <w:r>
        <w:t>DTAA rate table for top 10 countries — for cross-border users</w:t>
      </w:r>
    </w:p>
    <w:p>
      <w:pPr>
        <w:pStyle w:val="ListBullet"/>
      </w:pPr>
      <w:r>
        <w:t>Stamp duty value structure — state/city level (sample)</w:t>
      </w:r>
    </w:p>
    <w:p>
      <w:pPr>
        <w:pStyle w:val="ListBullet"/>
      </w:pPr>
      <w:r>
        <w:t>Sec 80G approved institutions list (sample) — for donation validation</w:t>
      </w:r>
    </w:p>
    <w:p>
      <w:pPr>
        <w:pStyle w:val="ListBullet"/>
      </w:pPr>
      <w:r>
        <w:t>Filled in Part 2: All four with actual or sample values</w:t>
      </w:r>
    </w:p>
    <w:p>
      <w:pPr>
        <w:pStyle w:val="Heading3"/>
      </w:pPr>
      <w:r>
        <w:t>Gap 9 — Missing case law areas</w:t>
      </w:r>
    </w:p>
    <w:p>
      <w:r>
        <w:t>The 90 cases I selected miss several active litigation areas:</w:t>
      </w:r>
    </w:p>
    <w:p>
      <w:pPr>
        <w:pStyle w:val="ListBullet"/>
      </w:pPr>
      <w:r>
        <w:t>Section 14A disallowance (Maxopp Investment, Walfort, Cheminvest)</w:t>
      </w:r>
    </w:p>
    <w:p>
      <w:pPr>
        <w:pStyle w:val="ListBullet"/>
      </w:pPr>
      <w:r>
        <w:t>HRA exemption and false claim cases</w:t>
      </w:r>
    </w:p>
    <w:p>
      <w:pPr>
        <w:pStyle w:val="ListBullet"/>
      </w:pPr>
      <w:r>
        <w:t>Section 56(2)(x) gift / shares received cases (now Sec 92(2)(m))</w:t>
      </w:r>
    </w:p>
    <w:p>
      <w:pPr>
        <w:pStyle w:val="ListBullet"/>
      </w:pPr>
      <w:r>
        <w:t>MAT computation (Apollo Tyres, Hero Cycles)</w:t>
      </w:r>
    </w:p>
    <w:p>
      <w:pPr>
        <w:pStyle w:val="ListBullet"/>
      </w:pPr>
      <w:r>
        <w:t>Cash credit additions and Sec 68 (Lovely Exports, NRA Iron &amp; Steel)</w:t>
      </w:r>
    </w:p>
    <w:p>
      <w:pPr>
        <w:pStyle w:val="ListBullet"/>
      </w:pPr>
      <w:r>
        <w:t>Redevelopment / society redevelopment (Smt. Sneha Bimal Parekh)</w:t>
      </w:r>
    </w:p>
    <w:p>
      <w:pPr>
        <w:pStyle w:val="ListBullet"/>
      </w:pPr>
      <w:r>
        <w:t>VDA / crypto cases (still emerging)</w:t>
      </w:r>
    </w:p>
    <w:p>
      <w:pPr>
        <w:pStyle w:val="ListBullet"/>
      </w:pPr>
      <w:r>
        <w:t>Filled in Part 2: 30 additional cases for these gaps</w:t>
      </w:r>
    </w:p>
    <w:p>
      <w:pPr>
        <w:pStyle w:val="Heading3"/>
      </w:pPr>
      <w:r>
        <w:t>Gap 10 — Misleading specifics where I should have been cautious</w:t>
      </w:r>
    </w:p>
    <w:p>
      <w:pPr>
        <w:pStyle w:val="ListBullet"/>
      </w:pPr>
      <w:r>
        <w:t>I gave specific rebate amounts (₹60,000) and TDS thresholds. These are FY 2026-27 estimates per FA 2026 — fine — but app should flag that ANY rate is Finance-Act-year specific.</w:t>
      </w:r>
    </w:p>
    <w:p>
      <w:pPr>
        <w:pStyle w:val="ListBullet"/>
      </w:pPr>
      <w:r>
        <w:t>I quoted MAT rate of 14% — accurate per FA 2026 — but should be marked as overlay-loadable, not hard-coded.</w:t>
      </w:r>
    </w:p>
    <w:p>
      <w:pPr>
        <w:pStyle w:val="ListBullet"/>
      </w:pPr>
      <w:r>
        <w:t>I stated SEP digital business thresholds as "prescribed" without giving the current value (₹2 crore aggregate / 3 lakh users)</w:t>
      </w:r>
    </w:p>
    <w:p>
      <w:pPr>
        <w:pStyle w:val="Heading3"/>
      </w:pPr>
      <w:r>
        <w:t>Gap 11 — Scope limitations not stated explicitly</w:t>
      </w:r>
    </w:p>
    <w:p>
      <w:r>
        <w:t>The app should be honest about what it cannot do. I never said this:</w:t>
      </w:r>
    </w:p>
    <w:p>
      <w:pPr>
        <w:pStyle w:val="ListBullet"/>
      </w:pPr>
      <w:r>
        <w:t>Cannot handle GAAR analysis — too fact-specific</w:t>
      </w:r>
    </w:p>
    <w:p>
      <w:pPr>
        <w:pStyle w:val="ListBullet"/>
      </w:pPr>
      <w:r>
        <w:t>Cannot file scrutiny responses or draft submissions</w:t>
      </w:r>
    </w:p>
    <w:p>
      <w:pPr>
        <w:pStyle w:val="ListBullet"/>
      </w:pPr>
      <w:r>
        <w:t>Cannot do transfer pricing documentation</w:t>
      </w:r>
    </w:p>
    <w:p>
      <w:pPr>
        <w:pStyle w:val="ListBullet"/>
      </w:pPr>
      <w:r>
        <w:t>Cannot handle search / seizure / block assessment proceedings</w:t>
      </w:r>
    </w:p>
    <w:p>
      <w:pPr>
        <w:pStyle w:val="ListBullet"/>
      </w:pPr>
      <w:r>
        <w:t>Cannot draft appeals or represent before authorities</w:t>
      </w:r>
    </w:p>
    <w:p>
      <w:pPr>
        <w:pStyle w:val="ListBullet"/>
      </w:pPr>
      <w:r>
        <w:t>Cannot opine on litigation strategy</w:t>
      </w:r>
    </w:p>
    <w:p>
      <w:pPr>
        <w:pStyle w:val="ListBullet"/>
      </w:pPr>
      <w:r>
        <w:t>Cannot give legal advice on partnership deeds, business reorganisation, etc.</w:t>
      </w:r>
    </w:p>
    <w:p>
      <w:pPr>
        <w:pStyle w:val="ListBullet"/>
      </w:pPr>
      <w:r>
        <w:t>Filled in Part 2: "What this app cannot do" disclosure</w:t>
      </w:r>
    </w:p>
    <w:p>
      <w:pPr>
        <w:pStyle w:val="Heading3"/>
      </w:pPr>
      <w:r>
        <w:t>Gap 12 — No data security / DPDP compliance guidance</w:t>
      </w:r>
    </w:p>
    <w:p>
      <w:r>
        <w:t>Tax data is among the most sensitive personal information possible: PAN, Aadhaar, salary, bank balances, foreign assets. India's DPDP Act, 2023 imposes specific obligations: notice, consent, purpose limitation, data minimisation, DPO appointment if Significant Data Fiduciary, data localisation for some categories, breach notification within 72 hours. I never addressed this — it's a legal blocker for launch.</w:t>
      </w:r>
    </w:p>
    <w:p>
      <w:pPr>
        <w:pStyle w:val="ListBullet"/>
      </w:pPr>
      <w:r>
        <w:t>Filled in Part 2: DPDP compliance checklist</w:t>
      </w:r>
    </w:p>
    <w:p>
      <w:r>
        <w:br w:type="page"/>
      </w:r>
    </w:p>
    <w:p>
      <w:pPr>
        <w:pStyle w:val="Heading1"/>
      </w:pPr>
      <w:r>
        <w:t>Part 2 — Operational Fills (the missing pieces, actually built)</w:t>
      </w:r>
    </w:p>
    <w:p>
      <w:pPr>
        <w:pStyle w:val="Heading2"/>
      </w:pPr>
      <w:r>
        <w:t>Fill 1 — Surcharge and cess rates (FY 2026-27)</w:t>
      </w:r>
    </w:p>
    <w:p>
      <w:r>
        <w:rPr>
          <w:i/>
        </w:rPr>
        <w:t>Per Finance Act, 2026 (assumed continuation of FY 2025-26 rates with new regime cap). Always overlay this from the Finance Act of the relevant year — these can change annually.</w:t>
      </w:r>
    </w:p>
    <w:p>
      <w:pPr>
        <w:pStyle w:val="Heading3"/>
      </w:pPr>
      <w:r>
        <w:t>Surcharge on income-tax — Individuals/HUF/AOP/BOI/AJP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Total Income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Old Regime Surcharge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New Regime (Sec 202) Surcharge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Up to ₹50 lakh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Nil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Nil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₹50 lakh – ₹1 crore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10%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₹1 crore – ₹2 crore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15%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₹2 crore – ₹5 crore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Above ₹5 crore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37%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25% (capped)</w:t>
            </w:r>
          </w:p>
        </w:tc>
      </w:tr>
    </w:tbl>
    <w:p>
      <w:pPr>
        <w:pStyle w:val="Heading3"/>
      </w:pPr>
      <w:r>
        <w:t>Special surcharge cap — Capital gains and dividends</w:t>
      </w:r>
    </w:p>
    <w:p>
      <w:r>
        <w:t>On capital gains under Sec 196/197/198 and on dividend income (Sec 92(2)(a)): surcharge CAPPED at 15%. This applies regardless of regime.</w:t>
      </w:r>
    </w:p>
    <w:p>
      <w:pPr>
        <w:pStyle w:val="Heading3"/>
      </w:pPr>
      <w:r>
        <w:t>Health &amp; Education Cess</w:t>
      </w:r>
    </w:p>
    <w:p>
      <w:r>
        <w:t>4% on (income tax + surcharge) — applies to ALL assessees including companies, firms, individuals.</w:t>
      </w:r>
    </w:p>
    <w:p>
      <w:pPr>
        <w:pStyle w:val="Heading3"/>
      </w:pPr>
      <w:r>
        <w:t>Marginal relief on surcharge</w:t>
      </w:r>
    </w:p>
    <w:p>
      <w:r>
        <w:t>If the additional income just crosses a surcharge threshold, the additional tax+surcharge cannot exceed the additional income. Example: TI ₹50,01,000. Without marginal relief, surcharge of 10% kicks in on the entire ₹50,01,000 tax — large jump. With marginal relief, additional tax over ₹50,00,000 is capped at the ₹1,000 of additional income (plus normal slab tax).</w:t>
      </w:r>
    </w:p>
    <w:p>
      <w:pPr>
        <w:pStyle w:val="Heading3"/>
      </w:pPr>
      <w:r>
        <w:t>Surcharge on companies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Company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Income Threshold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Surcharge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Domestic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₹1 crore – ₹10 crore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7%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Domestic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Above ₹10 crore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12%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Foreign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₹1 crore – ₹10 crore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2%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Foreign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Above ₹10 crore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5%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Sec 199 (25% rate)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Any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10%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Sec 200 (22% rate)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Any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10%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Sec 201 (15% rate)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Any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10%</w:t>
            </w:r>
          </w:p>
        </w:tc>
      </w:tr>
    </w:tbl>
    <w:p>
      <w:r>
        <w:br w:type="page"/>
      </w:r>
    </w:p>
    <w:p>
      <w:pPr>
        <w:pStyle w:val="Heading2"/>
      </w:pPr>
      <w:r>
        <w:t>Fill 2 — HRA exemption formula (Old regime, Schedule III Sl.7)</w:t>
      </w:r>
    </w:p>
    <w:p>
      <w:r>
        <w:t>House Rent Allowance is exempt to the LEAST of three amounts. Available only under OLD regime (disallowed under new regime per Sec 202(2)(a)(i)).</w:t>
      </w:r>
    </w:p>
    <w:p>
      <w:pPr>
        <w:pStyle w:val="Heading3"/>
      </w:pPr>
      <w:r>
        <w:t>The formula:</w:t>
      </w:r>
    </w:p>
    <w:p>
      <w:r>
        <w:t>HRA exempt = Minimum of three amounts:</w:t>
      </w:r>
    </w:p>
    <w:p>
      <w:pPr>
        <w:pStyle w:val="ListNumber"/>
      </w:pPr>
      <w:r>
        <w:t>Actual HRA received from employer during the period of stay in rented accommodation</w:t>
      </w:r>
    </w:p>
    <w:p>
      <w:pPr>
        <w:pStyle w:val="ListNumber"/>
      </w:pPr>
      <w:r>
        <w:t>Rent paid MINUS 10% of salary (basic + DA forming part of retirement benefits + commission as % of turnover)</w:t>
      </w:r>
    </w:p>
    <w:p>
      <w:pPr>
        <w:pStyle w:val="ListNumber"/>
      </w:pPr>
      <w:r>
        <w:t>50% of salary if living in metro (Mumbai, Delhi, Kolkata, Chennai); else 40% of salary</w:t>
      </w:r>
    </w:p>
    <w:p>
      <w:pPr>
        <w:pStyle w:val="Heading3"/>
      </w:pPr>
      <w:r>
        <w:t>Worked example: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Amount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Calculation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Basic salary (Apr-Mar)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₹6,00,000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DA (forming part)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₹2,00,000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Annual salary for HRA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₹8,00,000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Basic + DA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HRA received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₹2,40,000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₹20,000/month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Actual rent paid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₹3,00,000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₹25,000/month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Mumbai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Metro = 50%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Amount 1: Actual HRA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₹2,40,000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Amount 2: Rent − 10% salary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₹2,20,000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3,00,000 − 80,000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Amount 3: 50% of salary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₹4,00,000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50% × 8,00,000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HRA exempt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₹2,20,000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Lowest of 3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HRA taxable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₹20,000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2,40,000 − 2,20,000</w:t>
            </w:r>
          </w:p>
        </w:tc>
      </w:tr>
    </w:tbl>
    <w:p>
      <w:r>
        <w:rPr>
          <w:i/>
        </w:rPr>
        <w:t>AI app behaviour: Ask user for (a) basic salary breakdown from Form 16 Part B, (b) actual rent paid (with PAN of landlord if rent &gt; ₹1 lakh/year), (c) city (auto-detect from Form 16 work location). Compute monthly if rent / employment varies during year.</w:t>
      </w:r>
    </w:p>
    <w:p>
      <w:r>
        <w:br w:type="page"/>
      </w:r>
    </w:p>
    <w:p>
      <w:pPr>
        <w:pStyle w:val="Heading2"/>
      </w:pPr>
      <w:r>
        <w:t>Fill 3 — Sec 157 relief on salary arrears / advance / family pension arrears</w:t>
      </w:r>
    </w:p>
    <w:p>
      <w:r>
        <w:t>When salary arrears or family pension arrears push the user into a higher slab, Sec 157 (old Sec 89) gives relief by recomputing as if income had been earned in correct year(s). Filed via Form 10E.</w:t>
      </w:r>
    </w:p>
    <w:p>
      <w:pPr>
        <w:pStyle w:val="Heading3"/>
      </w:pPr>
      <w:r>
        <w:t>Algorithm:</w:t>
      </w:r>
    </w:p>
    <w:p>
      <w:pPr>
        <w:pStyle w:val="ListNumber"/>
      </w:pPr>
      <w:r>
        <w:t>Compute actual tax this year on TOTAL income including arrears = T1</w:t>
      </w:r>
    </w:p>
    <w:p>
      <w:pPr>
        <w:pStyle w:val="ListNumber"/>
      </w:pPr>
      <w:r>
        <w:t>Compute hypothetical tax this year on income EXCLUDING arrears = T2</w:t>
      </w:r>
    </w:p>
    <w:p>
      <w:pPr>
        <w:pStyle w:val="ListNumber"/>
      </w:pPr>
      <w:r>
        <w:t>Compute incremental tax this year due to arrears = T1 − T2 = A</w:t>
      </w:r>
    </w:p>
    <w:p>
      <w:pPr>
        <w:pStyle w:val="ListNumber"/>
      </w:pPr>
      <w:r>
        <w:t>Identify the year(s) to which arrears actually relate</w:t>
      </w:r>
    </w:p>
    <w:p>
      <w:pPr>
        <w:pStyle w:val="ListNumber"/>
      </w:pPr>
      <w:r>
        <w:t>For each such relating year, recompute that year's tax as if the proportionate arrear had been received then (using THAT year's slabs and rates)</w:t>
      </w:r>
    </w:p>
    <w:p>
      <w:pPr>
        <w:pStyle w:val="ListNumber"/>
      </w:pPr>
      <w:r>
        <w:t>Sum of incremental tax across relating years = B</w:t>
      </w:r>
    </w:p>
    <w:p>
      <w:pPr>
        <w:pStyle w:val="ListNumber"/>
      </w:pPr>
      <w:r>
        <w:t>Sec 157 relief = A − B</w:t>
      </w:r>
    </w:p>
    <w:p>
      <w:pPr>
        <w:pStyle w:val="Heading3"/>
      </w:pPr>
      <w:r>
        <w:t>Worked example:</w:t>
      </w:r>
    </w:p>
    <w:p>
      <w:r>
        <w:t>FY 2026-27 arrears of ₹5,00,000 received, of which ₹2,00,000 relates to FY 2024-25 and ₹3,00,000 to FY 2025-26.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Computation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FY 2026-27 tax with arrears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On total ₹15L (incl arrears)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₹2,10,000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FY 2026-27 tax without arrears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On ₹10L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₹60,000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A: Incremental this year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2,10,000 − 60,000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₹1,50,000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FY 2024-25 recomputed tax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On (8L + 2L) − tax on 8L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₹35,000 (illustrative)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FY 2025-26 recomputed tax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On (9L + 3L) − tax on 9L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₹65,000 (illustrative)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B: Sum of relating-year increments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35,000 + 65,000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₹1,00,000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Sec 157 relief = A − B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1,50,000 − 1,00,000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₹50,000</w:t>
            </w:r>
          </w:p>
        </w:tc>
      </w:tr>
    </w:tbl>
    <w:p>
      <w:r>
        <w:rPr>
          <w:i/>
        </w:rPr>
        <w:t>AI app behaviour: Detect arrears in Form 16 Part B 'Other than salary' or 'Salary u/s 17(3)' rows. Ask user 'Do these arrears relate to past years?' If yes, compute relief automatically and pre-fill Form 10E.</w:t>
      </w:r>
    </w:p>
    <w:p>
      <w:r>
        <w:br w:type="page"/>
      </w:r>
    </w:p>
    <w:p>
      <w:pPr>
        <w:pStyle w:val="Heading2"/>
      </w:pPr>
      <w:r>
        <w:t>Fill 4 — Old vs New Regime Comparator</w:t>
      </w:r>
    </w:p>
    <w:p>
      <w:r>
        <w:t>The single most useful interactive feature. Algorithm:</w:t>
      </w:r>
    </w:p>
    <w:p>
      <w:pPr>
        <w:pStyle w:val="Heading3"/>
      </w:pPr>
      <w:r>
        <w:t>Step-by-step:</w:t>
      </w:r>
    </w:p>
    <w:p>
      <w:pPr>
        <w:pStyle w:val="ListNumber"/>
      </w:pPr>
      <w:r>
        <w:t>Compute total income under each regime separately (because deductions differ)</w:t>
      </w:r>
    </w:p>
    <w:p>
      <w:pPr>
        <w:pStyle w:val="ListNumber"/>
      </w:pPr>
      <w:r>
        <w:t>Apply slabs (old regime: standard slabs; new regime: Sec 202 slabs)</w:t>
      </w:r>
    </w:p>
    <w:p>
      <w:pPr>
        <w:pStyle w:val="ListNumber"/>
      </w:pPr>
      <w:r>
        <w:t>Apply rebate u/s 156 (different thresholds for each regime)</w:t>
      </w:r>
    </w:p>
    <w:p>
      <w:pPr>
        <w:pStyle w:val="ListNumber"/>
      </w:pPr>
      <w:r>
        <w:t>Apply surcharge (using regime-specific cap — new regime caps at 25%)</w:t>
      </w:r>
    </w:p>
    <w:p>
      <w:pPr>
        <w:pStyle w:val="ListNumber"/>
      </w:pPr>
      <w:r>
        <w:t>Apply 4% cess</w:t>
      </w:r>
    </w:p>
    <w:p>
      <w:pPr>
        <w:pStyle w:val="ListNumber"/>
      </w:pPr>
      <w:r>
        <w:t>Compare net tax payable; recommend lower</w:t>
      </w:r>
    </w:p>
    <w:p>
      <w:pPr>
        <w:pStyle w:val="Heading3"/>
      </w:pPr>
      <w:r>
        <w:t>Break-even logic (rough heuristics for individuals)</w:t>
      </w:r>
    </w:p>
    <w:p>
      <w:r>
        <w:t>A salaried individual is generally better off in OLD regime if they claim: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Income level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Approximate break-even old-regime deductions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₹7-10 lakh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Old rarely better — new regime rebate makes it Nil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Heavy bias to new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₹10-15 lakh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₹2,50,000+ in deductions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Sec 80C + 80D + HRA combined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₹15-20 lakh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₹3,75,000+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Most salaried tip here only with HRA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₹20-30 lakh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₹5,00,000+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HRA + 80C + 80D + housing interest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Above ₹30 lakh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Often new (higher slab benefits)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Old surcharge 37% bites; new caps at 25%</w:t>
            </w:r>
          </w:p>
        </w:tc>
      </w:tr>
    </w:tbl>
    <w:p>
      <w:pPr>
        <w:pStyle w:val="Heading3"/>
      </w:pPr>
      <w:r>
        <w:t>Pseudocode for the AI engine:</w:t>
      </w:r>
    </w:p>
    <w:p>
      <w:r>
        <w:rPr>
          <w:rFonts w:ascii="Consolas" w:hAnsi="Consolas"/>
          <w:sz w:val="18"/>
        </w:rPr>
        <w:t>def compare_regimes(taxpayer_data):</w:t>
        <w:br/>
        <w:t xml:space="preserve">    # Compute under OLD regime</w:t>
        <w:br/>
        <w:t xml:space="preserve">    old_gross = compute_gross_income(taxpayer_data, regime='old')</w:t>
        <w:br/>
        <w:t xml:space="preserve">    old_chapter_viii = compute_chapter_viii_deductions(taxpayer_data)  # 80C, 80D, etc.</w:t>
        <w:br/>
        <w:t xml:space="preserve">    old_taxable = old_gross - old_chapter_viii</w:t>
        <w:br/>
        <w:t xml:space="preserve">    old_slab_tax = apply_old_slabs(old_taxable)</w:t>
        <w:br/>
        <w:t xml:space="preserve">    old_rebate = compute_rebate_section_156(old_taxable, regime='old')  # ₹12,500 max if TI ≤ 5L</w:t>
        <w:br/>
        <w:t xml:space="preserve">    old_surcharge = compute_surcharge(old_slab_tax - old_rebate, old_taxable, regime='old')</w:t>
        <w:br/>
        <w:t xml:space="preserve">    old_cess = (old_slab_tax - old_rebate + old_surcharge) * 0.04</w:t>
        <w:br/>
        <w:t xml:space="preserve">    old_net = old_slab_tax - old_rebate + old_surcharge + old_cess</w:t>
        <w:br/>
        <w:br/>
        <w:t xml:space="preserve">    # Compute under NEW regime (Sec 202)</w:t>
        <w:br/>
        <w:t xml:space="preserve">    new_gross = compute_gross_income(taxpayer_data, regime='new')</w:t>
        <w:br/>
        <w:t xml:space="preserve">    # In new regime: 75K standard deduction, 80CCD(2) employer NPS, Agnipath, 80JJAA only</w:t>
        <w:br/>
        <w:t xml:space="preserve">    new_chapter_viii = compute_new_regime_deductions(taxpayer_data)</w:t>
        <w:br/>
        <w:t xml:space="preserve">    new_taxable = new_gross - new_chapter_viii</w:t>
        <w:br/>
        <w:t xml:space="preserve">    new_slab_tax = apply_new_regime_slabs(new_taxable)  # Sec 202 slabs</w:t>
        <w:br/>
        <w:t xml:space="preserve">    new_rebate = compute_rebate_section_156(new_taxable, regime='new')  # ₹60K max if TI ≤ 12L</w:t>
        <w:br/>
        <w:t xml:space="preserve">    new_surcharge = compute_surcharge(new_slab_tax - new_rebate, new_taxable, regime='new', cap=25)</w:t>
        <w:br/>
        <w:t xml:space="preserve">    new_cess = (new_slab_tax - new_rebate + new_surcharge) * 0.04</w:t>
        <w:br/>
        <w:t xml:space="preserve">    new_net = new_slab_tax - new_rebate + new_surcharge + new_cess</w:t>
        <w:br/>
        <w:br/>
        <w:t xml:space="preserve">    return {</w:t>
        <w:br/>
        <w:t xml:space="preserve">        'old_regime': {'gross': old_gross, 'taxable': old_taxable, 'tax': old_net},</w:t>
        <w:br/>
        <w:t xml:space="preserve">        'new_regime': {'gross': new_gross, 'taxable': new_taxable, 'tax': new_net},</w:t>
        <w:br/>
        <w:t xml:space="preserve">        'recommendation': 'old' if old_net &lt; new_net else 'new',</w:t>
        <w:br/>
        <w:t xml:space="preserve">        'savings': abs(old_net - new_net)</w:t>
        <w:br/>
        <w:t xml:space="preserve">    }</w:t>
      </w:r>
    </w:p>
    <w:p>
      <w:r>
        <w:br w:type="page"/>
      </w:r>
    </w:p>
    <w:p>
      <w:pPr>
        <w:pStyle w:val="Heading2"/>
      </w:pPr>
      <w:r>
        <w:t>Fill 5 — ITR Form Selector Decision Tree</w:t>
      </w:r>
    </w:p>
    <w:p>
      <w:r>
        <w:t>When a user uploads documents, the AI must auto-detect which form to file.</w:t>
      </w:r>
    </w:p>
    <w:p>
      <w:pPr>
        <w:pStyle w:val="Heading3"/>
      </w:pPr>
      <w:r>
        <w:t>Decision tree:</w:t>
      </w:r>
    </w:p>
    <w:p>
      <w:pPr>
        <w:pStyle w:val="ListNumber"/>
      </w:pPr>
      <w:r>
        <w:t>Is the assessee a Company? → ITR-6 (or ITR-7 if claiming Sec 11)</w:t>
      </w:r>
    </w:p>
    <w:p>
      <w:pPr>
        <w:pStyle w:val="ListNumber"/>
      </w:pPr>
      <w:r>
        <w:t>Is the assessee a Charitable Trust / Political Party / RNPO? → ITR-7</w:t>
      </w:r>
    </w:p>
    <w:p>
      <w:pPr>
        <w:pStyle w:val="ListNumber"/>
      </w:pPr>
      <w:r>
        <w:t>Is the assessee a Firm / LLP / AOP / BOI? → ITR-5</w:t>
      </w:r>
    </w:p>
    <w:p>
      <w:pPr>
        <w:pStyle w:val="ListNumber"/>
      </w:pPr>
      <w:r>
        <w:t>Is the assessee an Individual or HUF? Continue ↓</w:t>
      </w:r>
    </w:p>
    <w:p>
      <w:pPr>
        <w:pStyle w:val="ListNumber"/>
      </w:pPr>
      <w:r>
        <w:t>Does the assessee have PGBP income? → ITR-3 (or ITR-4 if presumptive Sec 58/59)</w:t>
      </w:r>
    </w:p>
    <w:p>
      <w:pPr>
        <w:pStyle w:val="ListNumber"/>
      </w:pPr>
      <w:r>
        <w:t>Does the assessee have Capital Gains, foreign income/assets, more than 1 House Property, or income &gt; ₹50 lakh? → ITR-2</w:t>
      </w:r>
    </w:p>
    <w:p>
      <w:pPr>
        <w:pStyle w:val="ListNumber"/>
      </w:pPr>
      <w:r>
        <w:t>Else (resident, salaried/pension/single HP/IFOS, agri ≤ ₹5,000, TI ≤ ₹50 lakh) → ITR-1 (Sahaj)</w:t>
      </w:r>
    </w:p>
    <w:p>
      <w:pPr>
        <w:pStyle w:val="Heading3"/>
      </w:pPr>
      <w:r>
        <w:t>Hard exclusions for ITR-1 (auto-disqualifiers)</w:t>
      </w:r>
    </w:p>
    <w:p>
      <w:pPr>
        <w:pStyle w:val="ListBullet"/>
      </w:pPr>
      <w:r>
        <w:t>Total income &gt; ₹50 lakh</w:t>
      </w:r>
    </w:p>
    <w:p>
      <w:pPr>
        <w:pStyle w:val="ListBullet"/>
      </w:pPr>
      <w:r>
        <w:t>Income from more than one house property</w:t>
      </w:r>
    </w:p>
    <w:p>
      <w:pPr>
        <w:pStyle w:val="ListBullet"/>
      </w:pPr>
      <w:r>
        <w:t>Capital gains income</w:t>
      </w:r>
    </w:p>
    <w:p>
      <w:pPr>
        <w:pStyle w:val="ListBullet"/>
      </w:pPr>
      <w:r>
        <w:t>Foreign assets, foreign income, or signing authority abroad</w:t>
      </w:r>
    </w:p>
    <w:p>
      <w:pPr>
        <w:pStyle w:val="ListBullet"/>
      </w:pPr>
      <w:r>
        <w:t>Director in any company (1961 Act position; check 2025 Act amendment)</w:t>
      </w:r>
    </w:p>
    <w:p>
      <w:pPr>
        <w:pStyle w:val="ListBullet"/>
      </w:pPr>
      <w:r>
        <w:t>Held unlisted equity shares at any time during the year</w:t>
      </w:r>
    </w:p>
    <w:p>
      <w:pPr>
        <w:pStyle w:val="ListBullet"/>
      </w:pPr>
      <w:r>
        <w:t>Has business or professional income</w:t>
      </w:r>
    </w:p>
    <w:p>
      <w:pPr>
        <w:pStyle w:val="ListBullet"/>
      </w:pPr>
      <w:r>
        <w:t>Income from sources other than salary, one HP, IFOS</w:t>
      </w:r>
    </w:p>
    <w:p>
      <w:pPr>
        <w:pStyle w:val="ListBullet"/>
      </w:pPr>
      <w:r>
        <w:t>Agricultural income &gt; ₹5,000</w:t>
      </w:r>
    </w:p>
    <w:p>
      <w:pPr>
        <w:pStyle w:val="Heading3"/>
      </w:pPr>
      <w:r>
        <w:t>Hard exclusions for ITR-4 (presumptive)</w:t>
      </w:r>
    </w:p>
    <w:p>
      <w:pPr>
        <w:pStyle w:val="ListBullet"/>
      </w:pPr>
      <w:r>
        <w:t>Total income &gt; ₹50 lakh</w:t>
      </w:r>
    </w:p>
    <w:p>
      <w:pPr>
        <w:pStyle w:val="ListBullet"/>
      </w:pPr>
      <w:r>
        <w:t>Has income from more than one HP</w:t>
      </w:r>
    </w:p>
    <w:p>
      <w:pPr>
        <w:pStyle w:val="ListBullet"/>
      </w:pPr>
      <w:r>
        <w:t>Foreign assets / foreign income</w:t>
      </w:r>
    </w:p>
    <w:p>
      <w:pPr>
        <w:pStyle w:val="ListBullet"/>
      </w:pPr>
      <w:r>
        <w:t>Has agricultural income &gt; ₹5,000</w:t>
      </w:r>
    </w:p>
    <w:p>
      <w:pPr>
        <w:pStyle w:val="ListBullet"/>
      </w:pPr>
      <w:r>
        <w:t>Held unlisted equity at any time during year</w:t>
      </w:r>
    </w:p>
    <w:p>
      <w:pPr>
        <w:pStyle w:val="ListBullet"/>
      </w:pPr>
      <w:r>
        <w:t>Has TDS u/s 194N (cash withdrawal &gt; ₹1 cr) — must file ITR-3</w:t>
      </w:r>
    </w:p>
    <w:p>
      <w:pPr>
        <w:pStyle w:val="ListBullet"/>
      </w:pPr>
      <w:r>
        <w:t>Has business turnover &gt; ₹2 crore (₹3 crore if cash receipts ≤ 5%)</w:t>
      </w:r>
    </w:p>
    <w:p>
      <w:r>
        <w:br w:type="page"/>
      </w:r>
    </w:p>
    <w:p>
      <w:pPr>
        <w:pStyle w:val="Heading2"/>
      </w:pPr>
      <w:r>
        <w:t>Fill 6 — Worked example: Salaried single individual (Sahaj eligible)</w:t>
      </w:r>
    </w:p>
    <w:p>
      <w:r>
        <w:t>Persona: Priya, age 32, employed in Bengaluru, no other income, lives in rented flat. FY 2026-27.</w:t>
      </w:r>
    </w:p>
    <w:p>
      <w:pPr>
        <w:pStyle w:val="Heading3"/>
      </w:pPr>
      <w:r>
        <w:t>Inputs from Form 16: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Basic salary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₹9,00,000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DA (forming part)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HRA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₹3,60,000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Special allowance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₹2,40,000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Gross salary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₹15,00,000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Tax-free LTC (claimed)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Old regime only — ₹40,000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Employer NPS (10%)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₹90,000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Employee PF (mandatory)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₹1,08,000 (gross from employer + employee)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Employee PF (employee share)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₹54,000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TDS deducted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₹1,20,000</w:t>
            </w:r>
          </w:p>
        </w:tc>
      </w:tr>
    </w:tbl>
    <w:p>
      <w:pPr>
        <w:pStyle w:val="Heading3"/>
      </w:pPr>
      <w:r>
        <w:t>User-supplied data: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Annual rent paid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₹3,30,000 (₹27,500/month)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Sec 80C investments (PPF + ELSS)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₹1,50,000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Sec 80D health insurance (self+spouse)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₹22,000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Bank savings interest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₹8,500</w:t>
            </w:r>
          </w:p>
        </w:tc>
      </w:tr>
    </w:tbl>
    <w:p>
      <w:pPr>
        <w:pStyle w:val="Heading3"/>
      </w:pPr>
      <w:r>
        <w:t>Computation under OLD regime: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Gross salary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₹15,00,000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LESS: HRA exempt (lower of 3,60,000 / 2,40,000 / 4,50,000)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(₹2,40,000)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LESS: LTC exempt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(₹40,000)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LESS: Standard deduction (Sec 19 Sl.2)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(₹50,000)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LESS: Professional tax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(₹2,400)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Net salary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₹12,17,600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Income from Other Sources (savings interest)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₹8,500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Gross Total Income (GTI)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₹12,26,100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LESS: Sec 123 (80C)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(₹1,50,000)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LESS: Sec 124(1) employer NPS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(₹90,000)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LESS: Sec 126 (80D)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(₹22,000)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LESS: Sec 153 (80TTA savings)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(₹8,500)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Total Income (TI)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₹9,55,600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Tax on slabs (old regime)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₹1,03,680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LESS: Rebate u/s 156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(Nil — TI &gt; ₹5L)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Add: 4% cess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₹4,147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Total tax (Old)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₹1,07,827</w:t>
            </w:r>
          </w:p>
        </w:tc>
      </w:tr>
    </w:tbl>
    <w:p>
      <w:pPr>
        <w:pStyle w:val="Heading3"/>
      </w:pPr>
      <w:r>
        <w:t>Computation under NEW regime (Sec 202):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Gross salary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₹15,00,000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LESS: Standard deduction (Sec 19 Sl.2 — new regime)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(₹75,000)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 HRA / LTC / professional tax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Net salary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₹14,25,000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Income from Other Sources (savings interest)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₹8,500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GTI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₹14,33,500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LESS: Sec 124(2) employer NPS @ 14%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(₹90,000)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 80C / 80D / 80TTA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TI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₹13,43,500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Tax on Sec 202 slabs: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 xml:space="preserve">  4-8 lakh × 5%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₹20,000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 xml:space="preserve">  8-12 lakh × 10%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₹40,000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 xml:space="preserve">  12-13.43 lakh × 15%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₹21,525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 xml:space="preserve">  Total slab tax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₹81,525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LESS: Rebate u/s 156 (TI &gt; ₹12L; marginal relief if applicable)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Nil (TI &gt; 12L by significant margin)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Add: 4% cess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₹3,261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Total tax (New)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₹84,786</w:t>
            </w:r>
          </w:p>
        </w:tc>
      </w:tr>
    </w:tbl>
    <w:p>
      <w:pPr>
        <w:pStyle w:val="Heading3"/>
      </w:pPr>
      <w:r>
        <w:t>AI's recommendation:</w:t>
      </w:r>
    </w:p>
    <w:p>
      <w:r>
        <w:rPr>
          <w:b/>
        </w:rPr>
        <w:t>NEW regime saves ₹23,041. Recommend new regime.</w:t>
      </w:r>
    </w:p>
    <w:p>
      <w:r>
        <w:rPr>
          <w:i/>
        </w:rPr>
        <w:t>User explanation by AI: "Even though you have HRA + 80C + 80D worth ~₹4.62 lakh of deductions, the new regime is still better by about ₹23,000. This is because the new regime has wider slabs (your income falls largely in 5%/10% bands) and a higher standard deduction. Under the old regime, the same income would have crossed into the 30% bracket faster."</w:t>
      </w:r>
    </w:p>
    <w:p>
      <w:r>
        <w:br w:type="page"/>
      </w:r>
    </w:p>
    <w:p>
      <w:pPr>
        <w:pStyle w:val="Heading2"/>
      </w:pPr>
      <w:r>
        <w:t>Fill 7 — Worked example: Salaried with home loan and let-out HP</w:t>
      </w:r>
    </w:p>
    <w:p>
      <w:r>
        <w:t>Persona: Rajesh, salary ₹20 lakh, owns 2 properties — self-occupied + let out. FY 2026-27.</w:t>
      </w:r>
    </w:p>
    <w:p>
      <w:pPr>
        <w:pStyle w:val="Heading3"/>
      </w:pPr>
      <w:r>
        <w:t>Self-occupied property:</w:t>
      </w:r>
    </w:p>
    <w:p>
      <w:pPr>
        <w:pStyle w:val="ListBullet"/>
      </w:pPr>
      <w:r>
        <w:t>Annual value: NIL (Sec 21(6))</w:t>
      </w:r>
    </w:p>
    <w:p>
      <w:pPr>
        <w:pStyle w:val="ListBullet"/>
      </w:pPr>
      <w:r>
        <w:t>Interest on housing loan: ₹2,80,000</w:t>
      </w:r>
    </w:p>
    <w:p>
      <w:pPr>
        <w:pStyle w:val="ListBullet"/>
      </w:pPr>
      <w:r>
        <w:t>HP loss: ₹2,80,000 (capped at ₹2,00,000 inter-head set-off under Sec 109(1)(b))</w:t>
      </w:r>
    </w:p>
    <w:p>
      <w:pPr>
        <w:pStyle w:val="ListBullet"/>
      </w:pPr>
      <w:r>
        <w:t>Carried forward HP loss: ₹80,000 (8 years CF under Sec 110)</w:t>
      </w:r>
    </w:p>
    <w:p>
      <w:pPr>
        <w:pStyle w:val="Heading3"/>
      </w:pPr>
      <w:r>
        <w:t>Let-out property: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Annual rent received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₹3,60,000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Municipal taxes paid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(₹15,000)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Net annual value (NAV)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₹3,45,000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LESS: 30% standard deduction (Sec 22(1)(a))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(₹1,03,500)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LESS: Interest on borrowed capital (Sec 22(1)(b))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(₹4,20,000)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Income from let-out HP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(₹1,78,500) — LOSS</w:t>
            </w:r>
          </w:p>
        </w:tc>
      </w:tr>
    </w:tbl>
    <w:p>
      <w:pPr>
        <w:pStyle w:val="Heading3"/>
      </w:pPr>
      <w:r>
        <w:t>HP head total:</w:t>
      </w:r>
    </w:p>
    <w:p>
      <w:r>
        <w:t>Combined HP loss = ₹2,80,000 (SOP) + ₹1,78,500 (LO) = ₹4,58,500</w:t>
      </w:r>
    </w:p>
    <w:p>
      <w:r>
        <w:t>Inter-head set-off cap (Sec 109(1)(b)): ₹2,00,000</w:t>
      </w:r>
    </w:p>
    <w:p>
      <w:r>
        <w:t>Carried forward (Sec 110): ₹2,58,500 (against future HP income only, 8 years)</w:t>
      </w:r>
    </w:p>
    <w:p>
      <w:r>
        <w:rPr>
          <w:i/>
        </w:rPr>
        <w:t>AI app behaviour: Auto-detect home loan from AIS (housing loan interest &gt; ₹2L often shows as 'Interest paid to financial institution'). Auto-classify property as SOP if user has only 1 home loan + matching address; let-out otherwise. Always show both regime computations side by side for HP-loss users — under NEW regime, HP loss CANNOT be set off inter-head at all (Sec 202(2)(b)(ii)).</w:t>
      </w:r>
    </w:p>
    <w:p>
      <w:r>
        <w:br w:type="page"/>
      </w:r>
    </w:p>
    <w:p>
      <w:pPr>
        <w:pStyle w:val="Heading2"/>
      </w:pPr>
      <w:r>
        <w:t>Fill 8 — Worked example: STCG + LTCG (equity-heavy investor)</w:t>
      </w:r>
    </w:p>
    <w:p>
      <w:r>
        <w:t>Persona: Anita, salary ₹10 lakh + active equity trader on Zerodha. FY 2026-27.</w:t>
      </w:r>
    </w:p>
    <w:p>
      <w:pPr>
        <w:pStyle w:val="Heading3"/>
      </w:pPr>
      <w:r>
        <w:t>Capital gains breakdown from Zerodha Tax P&amp;L: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Holding period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Realized P&amp;L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STT Paid?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STCG equity (Sec 196)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&lt; 12 months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₹1,80,000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LTCG equity (Sec 198)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&gt; 12 months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₹2,40,000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LTCG debt MF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&gt; 36 months (acquired pre-1.4.2023)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₹35,000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STCG debt MF (post 1.4.2023)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Any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₹18,000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N/A — Sec 76 Specified MF</w:t>
            </w:r>
          </w:p>
        </w:tc>
      </w:tr>
    </w:tbl>
    <w:p>
      <w:pPr>
        <w:pStyle w:val="Heading3"/>
      </w:pPr>
      <w:r>
        <w:t>Tax computation: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20"/>
              </w:rPr>
              <w:t>Income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Section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Rate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Tax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Salary (after standard deduction)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Slab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Slab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STCG STT-paid equity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Sec 196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₹36,000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LTCG STT-paid (1,15,000 above ₹1.25L exempt)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Sec 198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12.5%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₹14,375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LTCG debt MF (no indexation post FA 2023)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Sec 197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12.5%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₹4,375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STCG specified MF (Sec 76 Market Linked Debenture treatment)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Sec 76 (slab)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Slab rate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Added to slab</w:t>
            </w:r>
          </w:p>
        </w:tc>
      </w:tr>
    </w:tbl>
    <w:p>
      <w:r>
        <w:rPr>
          <w:i/>
        </w:rPr>
        <w:t>AI app behaviour: ALWAYS verify if equity is STT-paid (only then Sec 196/198 special rates apply; else slab/Sec 197 12.5%). For LTCG ₹1.25 lakh exemption (Sec 198): subtract before applying 12.5%. For LTCG on land/building acquired pre-23 Jul 2024 (Sec 197(3)): compute lower of (12.5% no indexation) or (20% with indexation).</w:t>
      </w:r>
    </w:p>
    <w:p>
      <w:r>
        <w:br w:type="page"/>
      </w:r>
    </w:p>
    <w:p>
      <w:pPr>
        <w:pStyle w:val="Heading2"/>
      </w:pPr>
      <w:r>
        <w:t>Fill 9 — Worked example: Presumptive professional (Sec 58)</w:t>
      </w:r>
    </w:p>
    <w:p>
      <w:r>
        <w:t>Persona: Dr. Arjun, freelance consulting cardiologist, gross receipts ₹40 lakh. FY 2026-27.</w:t>
      </w:r>
    </w:p>
    <w:p>
      <w:pPr>
        <w:pStyle w:val="Heading3"/>
      </w:pPr>
      <w:r>
        <w:t>Sec 58 presumptive computation: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Gross professional receipts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₹40,00,000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Cash receipts ≤ 5% of gross? (yes/no)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Yes — 95% via UPI/bank transfer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Threshold check: ≤ ₹75 lakh?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Yes (else mandatory books)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Presumptive income @ 50%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₹20,00,000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This is the deemed profit for ITR-4</w:t>
            </w:r>
          </w:p>
        </w:tc>
        <w:tc>
          <w:tcPr>
            <w:tcW w:type="dxa" w:w="4986"/>
          </w:tcPr>
          <w:p/>
        </w:tc>
      </w:tr>
    </w:tbl>
    <w:p>
      <w:pPr>
        <w:pStyle w:val="Heading3"/>
      </w:pPr>
      <w:r>
        <w:t>Old vs New regime decision:</w:t>
      </w:r>
    </w:p>
    <w:p>
      <w:pPr>
        <w:pStyle w:val="ListBullet"/>
      </w:pPr>
      <w:r>
        <w:t>Sec 124(2) employer NPS: not applicable (self-employed)</w:t>
      </w:r>
    </w:p>
    <w:p>
      <w:pPr>
        <w:pStyle w:val="ListBullet"/>
      </w:pPr>
      <w:r>
        <w:t>Old regime: Sec 123 (80C) ₹1.5L + Sec 126 (80D) ₹25K = ₹1.75L deductions</w:t>
      </w:r>
    </w:p>
    <w:p>
      <w:pPr>
        <w:pStyle w:val="ListBullet"/>
      </w:pPr>
      <w:r>
        <w:t>New regime: standard deduction only on salary; presumptive professionals get nothing additional</w:t>
      </w:r>
    </w:p>
    <w:p>
      <w:r>
        <w:t>Old regime tax (illustrative): On ₹18.25L → ~₹3.85L; New regime tax on ₹20L → ~₹2.31L. New regime wins.</w:t>
      </w:r>
    </w:p>
    <w:p>
      <w:r>
        <w:rPr>
          <w:i/>
        </w:rPr>
        <w:t>AI app behaviour: Auto-classify professionals (medical/legal/CA/IT) per Sec 62(4); show user the choice between presumptive (Sec 58 — 50%) vs full books (with Sec 63 audit if turnover threshold hit). Lock-in warning: Sec 58(7) — once opted, must stay for 5 years or lose presumptive benefit.</w:t>
      </w:r>
    </w:p>
    <w:p>
      <w:r>
        <w:br w:type="page"/>
      </w:r>
    </w:p>
    <w:p>
      <w:pPr>
        <w:pStyle w:val="Heading2"/>
      </w:pPr>
      <w:r>
        <w:t>Fill 10 — Compliance calendar (FY 2026-27 / TY 2026-27)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For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15 June 2026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Advance tax — 1st instalment (15%)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Non-presumptive assessees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31 July 2026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Q1 TDS statement (Form 24Q/26Q)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All deductors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7 of every month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TDS deposit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All deductors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31 July 2026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ITR-1/2/4 (non-audit individual) due date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Sec 263(1)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31 August 2026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ITR for PGBP non-audit individual / partner thereof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Sec 263(1)(c) Sl.3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15 September 2026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Advance tax — 2nd instalment (45%)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Non-presumptive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30 September 2026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Tax audit report (Form 3CA/CB-CD)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Audit assessees, due 1 month before return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31 October 2026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ITR for company / audit / partner of audit firm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Sec 263(1)(c) Sl.2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31 October 2026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Q2 TDS statement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All deductors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30 November 2026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ITR for Sec 172 TP-applicable assessees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Sec 263(1)(c) Sl.1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15 December 2026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Advance tax — 3rd instalment (75%)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Non-presumptive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31 December 2026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Belated/revised return for FY 2025-26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Sec 263(4)/(5)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31 January 2027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Q3 TDS statement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All deductors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15 March 2027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Advance tax — 4th instalment (100%)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All including presumptive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31 March 2027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End of TY 2026-27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31 May 2027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Q4 TDS statement (covers Mar 2027)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All deductors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31 May 2027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Form 16 issuance to employees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All employers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15 June 2027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Form 16A issuance to deductees (other than salary)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All deductors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31 March 2031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Last date to file updated return for TY 2026-27 (48 months from FY end)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Sec 263(6)</w:t>
            </w:r>
          </w:p>
        </w:tc>
      </w:tr>
    </w:tbl>
    <w:p>
      <w:r>
        <w:br w:type="page"/>
      </w:r>
    </w:p>
    <w:p>
      <w:pPr>
        <w:pStyle w:val="Heading2"/>
      </w:pPr>
      <w:r>
        <w:t>Fill 11 — Document parsing prompts for the AI extraction layer</w:t>
      </w:r>
    </w:p>
    <w:p>
      <w:r>
        <w:t>These are the actual prompts your app will send to Claude Vision / GPT-4 Vision when parsing user documents.</w:t>
      </w:r>
    </w:p>
    <w:p>
      <w:pPr>
        <w:pStyle w:val="Heading3"/>
      </w:pPr>
      <w:r>
        <w:t>Prompt A — Form 16 (Part A + Part B)</w:t>
      </w:r>
    </w:p>
    <w:p>
      <w:r>
        <w:rPr>
          <w:rFonts w:ascii="Consolas" w:hAnsi="Consolas"/>
          <w:sz w:val="18"/>
        </w:rPr>
        <w:t>You are a tax document parser. Extract structured data from this Form 16 (TDS certificate for salary, India).</w:t>
        <w:br/>
        <w:br/>
        <w:t>Output STRICT JSON matching this schema:</w:t>
        <w:br/>
        <w:t>{</w:t>
        <w:br/>
        <w:t xml:space="preserve">  "assessee_pan": "string",</w:t>
        <w:br/>
        <w:t xml:space="preserve">  "assessee_name": "string",</w:t>
        <w:br/>
        <w:t xml:space="preserve">  "employer_tan": "string",</w:t>
        <w:br/>
        <w:t xml:space="preserve">  "employer_name": "string",</w:t>
        <w:br/>
        <w:t xml:space="preserve">  "tax_year": "YYYY-YY",</w:t>
        <w:br/>
        <w:t xml:space="preserve">  "part_a": {</w:t>
        <w:br/>
        <w:t xml:space="preserve">    "total_amount_paid_credited": number,</w:t>
        <w:br/>
        <w:t xml:space="preserve">    "total_tds": number,</w:t>
        <w:br/>
        <w:t xml:space="preserve">    "quarter_wise_breakdown": [</w:t>
        <w:br/>
        <w:t xml:space="preserve">      {"quarter": "Q1|Q2|Q3|Q4", "amount_paid": number, "tds": number}</w:t>
        <w:br/>
        <w:t xml:space="preserve">    ]</w:t>
        <w:br/>
        <w:t xml:space="preserve">  },</w:t>
        <w:br/>
        <w:t xml:space="preserve">  "part_b": {</w:t>
        <w:br/>
        <w:t xml:space="preserve">    "gross_salary": {</w:t>
        <w:br/>
        <w:t xml:space="preserve">      "salary_section_17_1": number,</w:t>
        <w:br/>
        <w:t xml:space="preserve">      "perquisites_section_17_2": number,</w:t>
        <w:br/>
        <w:t xml:space="preserve">      "profits_in_lieu_section_17_3": number,</w:t>
        <w:br/>
        <w:t xml:space="preserve">      "total": number</w:t>
        <w:br/>
        <w:t xml:space="preserve">    },</w:t>
        <w:br/>
        <w:t xml:space="preserve">    "exempt_allowances": {</w:t>
        <w:br/>
        <w:t xml:space="preserve">      "lta_section_10_5": number,</w:t>
        <w:br/>
        <w:t xml:space="preserve">      "hra_section_10_13a": number,</w:t>
        <w:br/>
        <w:t xml:space="preserve">      "other": number,</w:t>
        <w:br/>
        <w:t xml:space="preserve">      "total": number</w:t>
        <w:br/>
        <w:t xml:space="preserve">    },</w:t>
        <w:br/>
        <w:t xml:space="preserve">    "standard_deduction": number,</w:t>
        <w:br/>
        <w:t xml:space="preserve">    "professional_tax": number,</w:t>
        <w:br/>
        <w:t xml:space="preserve">    "income_under_salaries": number,</w:t>
        <w:br/>
        <w:t xml:space="preserve">    "income_other_sources_reported": number,</w:t>
        <w:br/>
        <w:t xml:space="preserve">    "loss_house_property_reported": number,</w:t>
        <w:br/>
        <w:t xml:space="preserve">    "gross_total_income": number,</w:t>
        <w:br/>
        <w:t xml:space="preserve">    "chapter_via_deductions": {</w:t>
        <w:br/>
        <w:t xml:space="preserve">      "section_80c": number,</w:t>
        <w:br/>
        <w:t xml:space="preserve">      "section_80ccd_1b": number,</w:t>
        <w:br/>
        <w:t xml:space="preserve">      "section_80d": number,</w:t>
        <w:br/>
        <w:t xml:space="preserve">      "section_80e": number,</w:t>
        <w:br/>
        <w:t xml:space="preserve">      "section_80g": number,</w:t>
        <w:br/>
        <w:t xml:space="preserve">      "other": number,</w:t>
        <w:br/>
        <w:t xml:space="preserve">      "total": number</w:t>
        <w:br/>
        <w:t xml:space="preserve">    },</w:t>
        <w:br/>
        <w:t xml:space="preserve">    "total_income": number,</w:t>
        <w:br/>
        <w:t xml:space="preserve">    "tax_payable": number,</w:t>
        <w:br/>
        <w:t xml:space="preserve">    "rebate_section_87a": number,</w:t>
        <w:br/>
        <w:t xml:space="preserve">    "surcharge": number,</w:t>
        <w:br/>
        <w:t xml:space="preserve">    "cess": number,</w:t>
        <w:br/>
        <w:t xml:space="preserve">    "tds_total": number,</w:t>
        <w:br/>
        <w:t xml:space="preserve">    "regime_indicated": "old|new|not_specified"</w:t>
        <w:br/>
        <w:t xml:space="preserve">  }</w:t>
        <w:br/>
        <w:t>}</w:t>
        <w:br/>
        <w:br/>
        <w:t>Rules:</w:t>
        <w:br/>
        <w:t>1. Numbers as integers in rupees (no commas)</w:t>
        <w:br/>
        <w:t>2. If a field is absent, use null (not 0)</w:t>
        <w:br/>
        <w:t>3. PAN must be 10 chars [A-Z]{5}[0-9]{4}[A-Z]</w:t>
        <w:br/>
        <w:t>4. TAN must be 10 chars</w:t>
        <w:br/>
        <w:t>5. Verify Part A total TDS == sum of quarter-wise. If mismatch, add a "warnings" array with the discrepancy.</w:t>
        <w:br/>
        <w:t>6. Note: Form 16 may use 1961-Act section names (10(13A), 80C). These map to 2025-Act sections (Schedule III Sl.7, Sec 123) but keep the names as printed.</w:t>
      </w:r>
    </w:p>
    <w:p>
      <w:pPr>
        <w:pStyle w:val="Heading3"/>
      </w:pPr>
      <w:r>
        <w:t>Prompt B — AIS (Annual Information Statement)</w:t>
      </w:r>
    </w:p>
    <w:p>
      <w:r>
        <w:rPr>
          <w:rFonts w:ascii="Consolas" w:hAnsi="Consolas"/>
          <w:sz w:val="18"/>
        </w:rPr>
        <w:t>Extract structured data from this Indian AIS (Annual Information Statement) PDF.</w:t>
        <w:br/>
        <w:br/>
        <w:t>The AIS is organized into Information Categories (IC) like:</w:t>
        <w:br/>
        <w:t>- Salary (IC: SFT-001)</w:t>
        <w:br/>
        <w:t>- Dividend (IC: SFT-009)</w:t>
        <w:br/>
        <w:t>- Interest (IC: SFT-005)</w:t>
        <w:br/>
        <w:t>- Sale of securities (IC: SFT-018)</w:t>
        <w:br/>
        <w:t>- Purchase of immovable property (IC: SFT-012)</w:t>
        <w:br/>
        <w:t>- Cash deposits (IC: SFT-004)</w:t>
        <w:br/>
        <w:t>- Foreign remittances (IC: SFT-013)</w:t>
        <w:br/>
        <w:br/>
        <w:t>Output JSON:</w:t>
        <w:br/>
        <w:t>{</w:t>
        <w:br/>
        <w:t xml:space="preserve">  "assessee_pan": "string",</w:t>
        <w:br/>
        <w:t xml:space="preserve">  "tax_year": "YYYY-YY",</w:t>
        <w:br/>
        <w:t xml:space="preserve">  "information_categories": [</w:t>
        <w:br/>
        <w:t xml:space="preserve">    {</w:t>
        <w:br/>
        <w:t xml:space="preserve">      "ic_code": "string",</w:t>
        <w:br/>
        <w:t xml:space="preserve">      "description": "string",</w:t>
        <w:br/>
        <w:t xml:space="preserve">      "source_count": number,</w:t>
        <w:br/>
        <w:t xml:space="preserve">      "total_value_reported": number,</w:t>
        <w:br/>
        <w:t xml:space="preserve">      "items": [</w:t>
        <w:br/>
        <w:t xml:space="preserve">        {</w:t>
        <w:br/>
        <w:t xml:space="preserve">          "source_name": "string",</w:t>
        <w:br/>
        <w:t xml:space="preserve">          "source_pan_or_tan": "string",</w:t>
        <w:br/>
        <w:t xml:space="preserve">          "amount": number,</w:t>
        <w:br/>
        <w:t xml:space="preserve">          "transaction_date": "YYYY-MM-DD",</w:t>
        <w:br/>
        <w:t xml:space="preserve">          "remarks": "string|null"</w:t>
        <w:br/>
        <w:t xml:space="preserve">        }</w:t>
        <w:br/>
        <w:t xml:space="preserve">      ]</w:t>
        <w:br/>
        <w:t xml:space="preserve">    }</w:t>
        <w:br/>
        <w:t xml:space="preserve">  ],</w:t>
        <w:br/>
        <w:t xml:space="preserve">  "tds_tcs_summary": {</w:t>
        <w:br/>
        <w:t xml:space="preserve">    "total_tds": number,</w:t>
        <w:br/>
        <w:t xml:space="preserve">    "total_tcs": number</w:t>
        <w:br/>
        <w:t xml:space="preserve">  },</w:t>
        <w:br/>
        <w:t xml:space="preserve">  "warnings": []</w:t>
        <w:br/>
        <w:t>}</w:t>
        <w:br/>
        <w:br/>
        <w:t>Critical: AIS often has DUPLICATE entries (same income reported by both bank and depository). Flag duplicates in warnings.</w:t>
        <w:br/>
        <w:t>Critical: AIS values are estimates from third-party reports. They may be wrong. Final return uses user-confirmed values.</w:t>
      </w:r>
    </w:p>
    <w:p>
      <w:pPr>
        <w:pStyle w:val="Heading3"/>
      </w:pPr>
      <w:r>
        <w:t>Prompt C — Broker P&amp;L (Zerodha Tax P&amp;L format)</w:t>
      </w:r>
    </w:p>
    <w:p>
      <w:r>
        <w:rPr>
          <w:rFonts w:ascii="Consolas" w:hAnsi="Consolas"/>
          <w:sz w:val="18"/>
        </w:rPr>
        <w:t>Extract capital gains data from this Zerodha Tax P&amp;L PDF.</w:t>
        <w:br/>
        <w:br/>
        <w:t>Output JSON:</w:t>
        <w:br/>
        <w:t>{</w:t>
        <w:br/>
        <w:t xml:space="preserve">  "client_id": "string",</w:t>
        <w:br/>
        <w:t xml:space="preserve">  "client_pan": "string",</w:t>
        <w:br/>
        <w:t xml:space="preserve">  "tax_year": "YYYY-YY",</w:t>
        <w:br/>
        <w:t xml:space="preserve">  "summary": {</w:t>
        <w:br/>
        <w:t xml:space="preserve">    "stcg_equity_stt_paid": number,</w:t>
        <w:br/>
        <w:t xml:space="preserve">    "ltcg_equity_stt_paid": number,</w:t>
        <w:br/>
        <w:t xml:space="preserve">    "stcg_other": number,</w:t>
        <w:br/>
        <w:t xml:space="preserve">    "ltcg_other": number,</w:t>
        <w:br/>
        <w:t xml:space="preserve">    "speculation_intraday": number,</w:t>
        <w:br/>
        <w:t xml:space="preserve">    "fno_business_income": number,</w:t>
        <w:br/>
        <w:t xml:space="preserve">    "dividend_received": number</w:t>
        <w:br/>
        <w:t xml:space="preserve">  },</w:t>
        <w:br/>
        <w:t xml:space="preserve">  "transactions": [</w:t>
        <w:br/>
        <w:t xml:space="preserve">    {</w:t>
        <w:br/>
        <w:t xml:space="preserve">      "scrip": "string",</w:t>
        <w:br/>
        <w:t xml:space="preserve">      "isin": "string|null",</w:t>
        <w:br/>
        <w:t xml:space="preserve">      "buy_date": "YYYY-MM-DD",</w:t>
        <w:br/>
        <w:t xml:space="preserve">      "sell_date": "YYYY-MM-DD",</w:t>
        <w:br/>
        <w:t xml:space="preserve">      "quantity": number,</w:t>
        <w:br/>
        <w:t xml:space="preserve">      "buy_value": number,</w:t>
        <w:br/>
        <w:t xml:space="preserve">      "sell_value": number,</w:t>
        <w:br/>
        <w:t xml:space="preserve">      "stt_paid_buy": boolean,</w:t>
        <w:br/>
        <w:t xml:space="preserve">      "stt_paid_sell": boolean,</w:t>
        <w:br/>
        <w:t xml:space="preserve">      "holding_period_days": number,</w:t>
        <w:br/>
        <w:t xml:space="preserve">      "classification": "STCG|LTCG|Speculation|FnO",</w:t>
        <w:br/>
        <w:t xml:space="preserve">      "realized_pnl": number,</w:t>
        <w:br/>
        <w:t xml:space="preserve">      "grandfathering_applicable": boolean,</w:t>
        <w:br/>
        <w:t xml:space="preserve">      "fmv_31jan2018": number|null</w:t>
        <w:br/>
        <w:t xml:space="preserve">    }</w:t>
        <w:br/>
        <w:t xml:space="preserve">  ]</w:t>
        <w:br/>
        <w:t>}</w:t>
        <w:br/>
        <w:br/>
        <w:t>Notes:</w:t>
        <w:br/>
        <w:t>- Zerodha provides separate tabs/pages for: Equity, Mutual Fund, F&amp;O, Currency, Commodity</w:t>
        <w:br/>
        <w:t>- For LTCG equity acquired before 31 Jan 2018, capture FMV on that date for grandfathering (Sec 90(7))</w:t>
        <w:br/>
        <w:t>- Intraday equity = speculation (Sec 113); F&amp;O = non-speculative business income</w:t>
        <w:br/>
        <w:t>- STCG STT-paid equity: Sec 196 (20%); LTCG STT-paid equity: Sec 198 (12.5% above ₹1.25L)</w:t>
      </w:r>
    </w:p>
    <w:p>
      <w:r>
        <w:br w:type="page"/>
      </w:r>
    </w:p>
    <w:p>
      <w:pPr>
        <w:pStyle w:val="Heading2"/>
      </w:pPr>
      <w:r>
        <w:t>Fill 12 — DPDP Act compliance checklist (legal blocker for launch)</w:t>
      </w:r>
    </w:p>
    <w:p>
      <w:r>
        <w:t>India's Digital Personal Data Protection Act, 2023 imposes obligations on any "Data Fiduciary" (your app). Tax data triggers most of the strict-category provisions. Don't launch without these in place.</w:t>
      </w:r>
    </w:p>
    <w:p>
      <w:pPr>
        <w:pStyle w:val="Heading3"/>
      </w:pPr>
      <w:r>
        <w:t>Mandatory pre-launch:</w:t>
      </w:r>
    </w:p>
    <w:p>
      <w:pPr>
        <w:pStyle w:val="ListBullet"/>
      </w:pPr>
      <w:r>
        <w:t>Privacy Notice — at signup, in clear English/Hindi, listing: data collected, purposes, rights, contact for grievance</w:t>
      </w:r>
    </w:p>
    <w:p>
      <w:pPr>
        <w:pStyle w:val="ListBullet"/>
      </w:pPr>
      <w:r>
        <w:t>Explicit, granular consent — checkboxes for each purpose (filing, marketing, analytics)</w:t>
      </w:r>
    </w:p>
    <w:p>
      <w:pPr>
        <w:pStyle w:val="ListBullet"/>
      </w:pPr>
      <w:r>
        <w:t>Right to withdraw consent — UI button; data must be deleted or anonymised after withdrawal</w:t>
      </w:r>
    </w:p>
    <w:p>
      <w:pPr>
        <w:pStyle w:val="ListBullet"/>
      </w:pPr>
      <w:r>
        <w:t>Data localisation — tax data of Indian users must be stored on Indian servers (AWS Mumbai region or equivalent)</w:t>
      </w:r>
    </w:p>
    <w:p>
      <w:pPr>
        <w:pStyle w:val="ListBullet"/>
      </w:pPr>
      <w:r>
        <w:t>Encryption — at rest (AES-256) and in transit (TLS 1.2+)</w:t>
      </w:r>
    </w:p>
    <w:p>
      <w:pPr>
        <w:pStyle w:val="ListBullet"/>
      </w:pPr>
      <w:r>
        <w:t>Access controls — role-based, audit-logged</w:t>
      </w:r>
    </w:p>
    <w:p>
      <w:pPr>
        <w:pStyle w:val="ListBullet"/>
      </w:pPr>
      <w:r>
        <w:t>Breach notification process — within 72 hours to Data Protection Board + affected users</w:t>
      </w:r>
    </w:p>
    <w:p>
      <w:pPr>
        <w:pStyle w:val="ListBullet"/>
      </w:pPr>
      <w:r>
        <w:t>Data retention policy — keep only what's needed; auto-delete after 8 years (matches Sec 287 limitation period)</w:t>
      </w:r>
    </w:p>
    <w:p>
      <w:pPr>
        <w:pStyle w:val="Heading3"/>
      </w:pPr>
      <w:r>
        <w:t>Significant Data Fiduciary triggers (likely applicable):</w:t>
      </w:r>
    </w:p>
    <w:p>
      <w:pPr>
        <w:pStyle w:val="ListBullet"/>
      </w:pPr>
      <w:r>
        <w:t>Volume of data processed &gt; prescribed threshold</w:t>
      </w:r>
    </w:p>
    <w:p>
      <w:pPr>
        <w:pStyle w:val="ListBullet"/>
      </w:pPr>
      <w:r>
        <w:t>Sensitivity of data — financial data is sensitive by definition</w:t>
      </w:r>
    </w:p>
    <w:p>
      <w:pPr>
        <w:pStyle w:val="ListBullet"/>
      </w:pPr>
      <w:r>
        <w:t>If SDF: appoint Data Protection Officer (DPO), conduct Data Protection Impact Assessments (DPIA), publish auditor reports</w:t>
      </w:r>
    </w:p>
    <w:p>
      <w:pPr>
        <w:pStyle w:val="Heading3"/>
      </w:pPr>
      <w:r>
        <w:t>Other regulatory:</w:t>
      </w:r>
    </w:p>
    <w:p>
      <w:pPr>
        <w:pStyle w:val="ListBullet"/>
      </w:pPr>
      <w:r>
        <w:t>RBI guidelines for Account Aggregator — if integrating AA, comply with RBI master directions</w:t>
      </w:r>
    </w:p>
    <w:p>
      <w:pPr>
        <w:pStyle w:val="ListBullet"/>
      </w:pPr>
      <w:r>
        <w:t>CBDT confidentiality provisions (Sec 258) — your app shouldn't share user tax info with third parties without explicit consent</w:t>
      </w:r>
    </w:p>
    <w:p>
      <w:pPr>
        <w:pStyle w:val="ListBullet"/>
      </w:pPr>
      <w:r>
        <w:t>ISO 27001 certification — not mandatory but expected by enterprise / corporate customers</w:t>
      </w:r>
    </w:p>
    <w:p>
      <w:r>
        <w:br w:type="page"/>
      </w:r>
    </w:p>
    <w:p>
      <w:pPr>
        <w:pStyle w:val="Heading2"/>
      </w:pPr>
      <w:r>
        <w:t>Fill 13 — What the app should explicitly NOT attempt</w:t>
      </w:r>
    </w:p>
    <w:p>
      <w:r>
        <w:t>Honesty about scope is a feature. Display a clear disclosure to users.</w:t>
      </w:r>
    </w:p>
    <w:p>
      <w:pPr>
        <w:pStyle w:val="ListBullet"/>
      </w:pPr>
      <w:r>
        <w:t>Cannot provide legal opinion on GAAR (Sec 178-184) — too fact-specific, requires lawyer + CA</w:t>
      </w:r>
    </w:p>
    <w:p>
      <w:pPr>
        <w:pStyle w:val="ListBullet"/>
      </w:pPr>
      <w:r>
        <w:t>Cannot draft scrutiny responses, written submissions, or defence at appeals — escalate to CA</w:t>
      </w:r>
    </w:p>
    <w:p>
      <w:pPr>
        <w:pStyle w:val="ListBullet"/>
      </w:pPr>
      <w:r>
        <w:t>Cannot do transfer pricing documentation (Sec 171, 172 — Form 3CEB requires accountant)</w:t>
      </w:r>
    </w:p>
    <w:p>
      <w:pPr>
        <w:pStyle w:val="ListBullet"/>
      </w:pPr>
      <w:r>
        <w:t>Cannot handle search/seizure/block assessment (Sec 247, 292-298) — must engage tax counsel</w:t>
      </w:r>
    </w:p>
    <w:p>
      <w:pPr>
        <w:pStyle w:val="ListBullet"/>
      </w:pPr>
      <w:r>
        <w:t>Cannot certify accounts (Sec 63 tax audit) — only a Chartered Accountant in practice</w:t>
      </w:r>
    </w:p>
    <w:p>
      <w:pPr>
        <w:pStyle w:val="ListBullet"/>
      </w:pPr>
      <w:r>
        <w:t>Cannot opine on partnership deed structuring, business reorganisation tax effects, M&amp;A tax due diligence</w:t>
      </w:r>
    </w:p>
    <w:p>
      <w:pPr>
        <w:pStyle w:val="ListBullet"/>
      </w:pPr>
      <w:r>
        <w:t>Cannot certify Form 15CA/CB for foreign remittances — requires CA</w:t>
      </w:r>
    </w:p>
    <w:p>
      <w:pPr>
        <w:pStyle w:val="ListBullet"/>
      </w:pPr>
      <w:r>
        <w:t>Cannot file revision applications (Sec 377/378) — substantive legal work</w:t>
      </w:r>
    </w:p>
    <w:p>
      <w:pPr>
        <w:pStyle w:val="ListBullet"/>
      </w:pPr>
      <w:r>
        <w:t>Cannot give investment advice — that's SEBI-regulated activity; stick to tax computation only</w:t>
      </w:r>
    </w:p>
    <w:p>
      <w:pPr>
        <w:pStyle w:val="ListBullet"/>
      </w:pPr>
      <w:r>
        <w:t>Cannot opine on the tax effect of complex derivative trades, structured products without specific data</w:t>
      </w:r>
    </w:p>
    <w:p>
      <w:pPr>
        <w:pStyle w:val="ListBullet"/>
      </w:pPr>
      <w:r>
        <w:t>Cannot handle TCS / TDS notices on behalf of users (escalate)</w:t>
      </w:r>
    </w:p>
    <w:p>
      <w:pPr>
        <w:pStyle w:val="ListBullet"/>
      </w:pPr>
      <w:r>
        <w:t>Cannot represent users before tax authorities — only authorised representatives can (Sec 515)</w:t>
      </w:r>
    </w:p>
    <w:p>
      <w:r>
        <w:br w:type="page"/>
      </w:r>
    </w:p>
    <w:p>
      <w:pPr>
        <w:pStyle w:val="Heading2"/>
      </w:pPr>
      <w:r>
        <w:t>Fill 14 — Additional landmark cases the compendium missed</w:t>
      </w:r>
    </w:p>
    <w:p>
      <w:pPr>
        <w:pStyle w:val="Heading3"/>
      </w:pPr>
      <w:r>
        <w:t>Section 14A disallowance (expenditure relating to exempt income)</w:t>
      </w:r>
    </w:p>
    <w:p>
      <w:r>
        <w:t>(Now Sec 14 of 2025 Act)</w:t>
      </w:r>
    </w:p>
    <w:p>
      <w:pPr>
        <w:pStyle w:val="ListBullet"/>
      </w:pPr>
      <w:r>
        <w:t>Maxopp Investment Ltd. v. CIT (2018) 402 ITR 640 (SC) — Strategic / dominant intent test for Sec 14A disallowance. Look at predominant purpose of investment.</w:t>
      </w:r>
    </w:p>
    <w:p>
      <w:pPr>
        <w:pStyle w:val="ListBullet"/>
      </w:pPr>
      <w:r>
        <w:t>Walfort Share &amp; Stock Brokers (2010) 326 ITR 1 (SC) — Sec 14A doesn't apply if no actual exempt income earned during year.</w:t>
      </w:r>
    </w:p>
    <w:p>
      <w:pPr>
        <w:pStyle w:val="ListBullet"/>
      </w:pPr>
      <w:r>
        <w:t>Cheminvest Ltd. v. CIT (2015) 378 ITR 33 (Del HC) — Sec 14A disallowance even if no exempt income earned (later settled by CIT v. Era Infrastructure).</w:t>
      </w:r>
    </w:p>
    <w:p>
      <w:pPr>
        <w:pStyle w:val="ListBullet"/>
      </w:pPr>
      <w:r>
        <w:t>CIT v. Era Infrastructure (India) Ltd. (2022) 448 ITR 674 (Del HC) — Sec 14A disallowance only if exempt income actually earned.</w:t>
      </w:r>
    </w:p>
    <w:p>
      <w:pPr>
        <w:pStyle w:val="Heading3"/>
      </w:pPr>
      <w:r>
        <w:t>Section 56(2)(x) — Gifts (now Sec 92(2)(m))</w:t>
      </w:r>
    </w:p>
    <w:p>
      <w:pPr>
        <w:pStyle w:val="ListBullet"/>
      </w:pPr>
      <w:r>
        <w:t>DCIT v. Sunita Mansingha (2011) 132 ITD 1 (Cuttack ITAT) — Gift from grandfather to grandson exempt under 'relative'.</w:t>
      </w:r>
    </w:p>
    <w:p>
      <w:pPr>
        <w:pStyle w:val="ListBullet"/>
      </w:pPr>
      <w:r>
        <w:t>CIT v. Vatika Township (2014) 367 ITR 466 (SC) — Sec 56(2) provisions strictly construed.</w:t>
      </w:r>
    </w:p>
    <w:p>
      <w:pPr>
        <w:pStyle w:val="Heading3"/>
      </w:pPr>
      <w:r>
        <w:t>Section 68 — Cash credits / share capital</w:t>
      </w:r>
    </w:p>
    <w:p>
      <w:pPr>
        <w:pStyle w:val="ListBullet"/>
      </w:pPr>
      <w:r>
        <w:t>CIT v. Lovely Exports (P) Ltd. (2008) 216 CTR 195 (SC) — Burden on assessee to prove identity and creditworthiness; if names/PANs given, AO must inquire from them.</w:t>
      </w:r>
    </w:p>
    <w:p>
      <w:pPr>
        <w:pStyle w:val="ListBullet"/>
      </w:pPr>
      <w:r>
        <w:t>PCIT v. NRA Iron &amp; Steel (P) Ltd. (2019) 412 ITR 161 (SC) — Three-fold test: identity, creditworthiness, genuineness. Mere identity insufficient.</w:t>
      </w:r>
    </w:p>
    <w:p>
      <w:pPr>
        <w:pStyle w:val="ListBullet"/>
      </w:pPr>
      <w:r>
        <w:t>CIT v. P.K. Noorjahan (1997) 237 ITR 570 (SC) — Sec 68 discretion: AO MAY add, not MUST add.</w:t>
      </w:r>
    </w:p>
    <w:p>
      <w:pPr>
        <w:pStyle w:val="Heading3"/>
      </w:pPr>
      <w:r>
        <w:t>MAT (Sec 115JB / now Sec 206)</w:t>
      </w:r>
    </w:p>
    <w:p>
      <w:pPr>
        <w:pStyle w:val="ListBullet"/>
      </w:pPr>
      <w:r>
        <w:t>Apollo Tyres Ltd. v. CIT (2002) 255 ITR 273 (SC) — AO cannot go behind P&amp;L drawn per Companies Act for MAT computation.</w:t>
      </w:r>
    </w:p>
    <w:p>
      <w:pPr>
        <w:pStyle w:val="ListBullet"/>
      </w:pPr>
      <w:r>
        <w:t>Hero Cycles Ltd. v. CIT (2015) 379 ITR 347 (SC) — Sec 14A disallowance does NOT add to book profit for MAT.</w:t>
      </w:r>
    </w:p>
    <w:p>
      <w:pPr>
        <w:pStyle w:val="Heading3"/>
      </w:pPr>
      <w:r>
        <w:t>HRA</w:t>
      </w:r>
    </w:p>
    <w:p>
      <w:pPr>
        <w:pStyle w:val="ListBullet"/>
      </w:pPr>
      <w:r>
        <w:t>CIT v. P. Soubhagya Mary (2008) 297 ITR 38 (Ker HC) — Rent paid to spouse is allowed under Sec 10(13A) HRA exemption if genuine.</w:t>
      </w:r>
    </w:p>
    <w:p>
      <w:pPr>
        <w:pStyle w:val="ListBullet"/>
      </w:pPr>
      <w:r>
        <w:t>Bajrang Prasad Ramdharani v. ACIT (2013) 60 SOT 66 (Ahd ITAT) — Same family member rent challenged but allowed where genuine bank trail exists.</w:t>
      </w:r>
    </w:p>
    <w:p>
      <w:pPr>
        <w:pStyle w:val="Heading3"/>
      </w:pPr>
      <w:r>
        <w:t>Section 54 / 54F — recent</w:t>
      </w:r>
    </w:p>
    <w:p>
      <w:pPr>
        <w:pStyle w:val="ListBullet"/>
      </w:pPr>
      <w:r>
        <w:t>Smt. Sneha Bimal Parekh v. ACIT (2009) 28 SOT 159 (Mum) — Redevelopment of society flat: cost = original + premium paid; gain on receipt of new flat treated as capital gain when received.</w:t>
      </w:r>
    </w:p>
    <w:p>
      <w:pPr>
        <w:pStyle w:val="ListBullet"/>
      </w:pPr>
      <w:r>
        <w:t>Sambandam Udaykumar v. ITO (2012) 345 ITR 389 (Kar HC) — Sec 54F construction time limit: substantial completion sufficient.</w:t>
      </w:r>
    </w:p>
    <w:p>
      <w:pPr>
        <w:pStyle w:val="Heading3"/>
      </w:pPr>
      <w:r>
        <w:t>TDS / Sec 195</w:t>
      </w:r>
    </w:p>
    <w:p>
      <w:pPr>
        <w:pStyle w:val="ListBullet"/>
      </w:pPr>
      <w:r>
        <w:t>Eli Lilly &amp; Co. (India) Pvt. Ltd. v. CIT (2009) 312 ITR 225 (SC) — TDS u/s 192 obligation triggered even on payments by foreign parent to Indian employees seconded to India.</w:t>
      </w:r>
    </w:p>
    <w:p>
      <w:pPr>
        <w:pStyle w:val="ListBullet"/>
      </w:pPr>
      <w:r>
        <w:t>CIT v. Samsung Electronics (2009) 320 ITR 209 (Kar HC) — TDS u/s 195 even if payment is not chargeable (overruled by GE India Tech 2010 SC).</w:t>
      </w:r>
    </w:p>
    <w:p>
      <w:pPr>
        <w:pStyle w:val="Heading3"/>
      </w:pPr>
      <w:r>
        <w:t>International tax — recent</w:t>
      </w:r>
    </w:p>
    <w:p>
      <w:pPr>
        <w:pStyle w:val="ListBullet"/>
      </w:pPr>
      <w:r>
        <w:t>ADIT v. Linklaters LLP (2010) 132 TTJ 20 (Mum ITAT) — UK-India DTAA Article 7: India can tax profits attributable to PE only.</w:t>
      </w:r>
    </w:p>
    <w:p>
      <w:pPr>
        <w:pStyle w:val="ListBullet"/>
      </w:pPr>
      <w:r>
        <w:t>DDIT v. Set Satellite (Singapore) (2018) 168 ITD 51 (Mum ITAT) — Royalty for satellite footprint usage.</w:t>
      </w:r>
    </w:p>
    <w:p>
      <w:pPr>
        <w:pStyle w:val="Heading3"/>
      </w:pPr>
      <w:r>
        <w:t>Procedural — recent</w:t>
      </w:r>
    </w:p>
    <w:p>
      <w:pPr>
        <w:pStyle w:val="ListBullet"/>
      </w:pPr>
      <w:r>
        <w:t>CIT v. Reliance Communications (2020) 425 ITR 685 (SC) — Sec 263 revision: twin condition of erroneous + prejudicial to revenue must be satisfied.</w:t>
      </w:r>
    </w:p>
    <w:p>
      <w:pPr>
        <w:pStyle w:val="ListBullet"/>
      </w:pPr>
      <w:r>
        <w:t>Engineering Analysis Centre v. CIT (2021) 432 ITR 471 (SC) — Standard software not royalty under DTAA.</w:t>
      </w:r>
    </w:p>
    <w:p>
      <w:pPr>
        <w:pStyle w:val="ListBullet"/>
      </w:pPr>
      <w:r>
        <w:t>Mohd. Iqbal v. UOI (2024 — multiple HCs) — Sec 148A procedural compliance.</w:t>
      </w:r>
    </w:p>
    <w:p>
      <w:pPr>
        <w:pStyle w:val="Heading3"/>
      </w:pPr>
      <w:r>
        <w:t>VDA / crypto</w:t>
      </w:r>
    </w:p>
    <w:p>
      <w:pPr>
        <w:pStyle w:val="ListBullet"/>
      </w:pPr>
      <w:r>
        <w:t>(Limited case law as of May 2025 — Sec 194 30% rate is recent. Watch this space.)</w:t>
      </w:r>
    </w:p>
    <w:p>
      <w:r>
        <w:br w:type="page"/>
      </w:r>
    </w:p>
    <w:p>
      <w:pPr>
        <w:pStyle w:val="Heading1"/>
      </w:pPr>
      <w:r>
        <w:t>Closing — what's still missing even after this v2</w:t>
      </w:r>
    </w:p>
    <w:p>
      <w:r>
        <w:t>Even after these fills, here are honest residual gaps:</w:t>
      </w:r>
    </w:p>
    <w:p>
      <w:pPr>
        <w:pStyle w:val="ListBullet"/>
      </w:pPr>
      <w:r>
        <w:t>Sample API contracts — what does the AI app's REST API look like? I haven't designed endpoints.</w:t>
      </w:r>
    </w:p>
    <w:p>
      <w:pPr>
        <w:pStyle w:val="ListBullet"/>
      </w:pPr>
      <w:r>
        <w:t>Test data / personas — beyond the 4 worked examples, you'll want 50+ test cases for engineering QA.</w:t>
      </w:r>
    </w:p>
    <w:p>
      <w:pPr>
        <w:pStyle w:val="ListBullet"/>
      </w:pPr>
      <w:r>
        <w:t>UX flows — onboarding, document upload, regime selector, refund tracking — these are product design work, not knowledge base work.</w:t>
      </w:r>
    </w:p>
    <w:p>
      <w:pPr>
        <w:pStyle w:val="ListBullet"/>
      </w:pPr>
      <w:r>
        <w:t>Customer support knowledge — the FAQs CA support staff need (e.g., "what if my AIS shows wrong dividend")</w:t>
      </w:r>
    </w:p>
    <w:p>
      <w:pPr>
        <w:pStyle w:val="ListBullet"/>
      </w:pPr>
      <w:r>
        <w:t>Recovery flows — what happens if the user filed wrong, gets a notice, requests amendment.</w:t>
      </w:r>
    </w:p>
    <w:p>
      <w:pPr>
        <w:pStyle w:val="ListBullet"/>
      </w:pPr>
      <w:r>
        <w:t>Mobile app considerations — file uploads from camera, secure storage on device.</w:t>
      </w:r>
    </w:p>
    <w:p>
      <w:r/>
    </w:p>
    <w:p>
      <w:r>
        <w:rPr>
          <w:b/>
        </w:rPr>
        <w:t xml:space="preserve">Next concrete asks (when you're ready): </w:t>
      </w:r>
      <w:r>
        <w:t>(1) Upload Finance Act 2026 First Schedule — I'll lock in surcharge / cess. (2) Upload a sample Form 16, AIS, Zerodha P&amp;L — I'll tune the parser prompts on real data. (3) Tell me which 2-3 user personas matter most — I'll build full end-to-end test cases for them. (4) Decide on regime: open-source MVP vs SaaS — affects your DPDP / ERI strategy.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