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52"/>
        </w:rPr>
        <w:t>ProtoGuard NIDS</w:t>
      </w:r>
    </w:p>
    <w:p>
      <w:pPr>
        <w:spacing w:before="0" w:after="160"/>
      </w:pPr>
      <w:r>
        <w:rPr>
          <w:rFonts w:ascii="Calibri" w:hAnsi="Calibri"/>
          <w:b/>
          <w:color w:val="1E293B"/>
          <w:sz w:val="32"/>
        </w:rPr>
        <w:t>Complete Interactive Dashboards Reference Guide</w:t>
      </w:r>
    </w:p>
    <w:p>
      <w:pPr>
        <w:spacing w:before="0" w:after="360"/>
      </w:pPr>
      <w:r>
        <w:rPr>
          <w:rFonts w:ascii="Calibri" w:hAnsi="Calibri"/>
          <w:i/>
          <w:color w:val="64748B"/>
          <w:sz w:val="20"/>
        </w:rPr>
        <w:t>Academic Capstone: Problem 7 — Network Intrusion Detection Using Finite-State Models &amp; Machine Learning</w:t>
        <w:br/>
        <w:t>Architecture: 2-Stage Deterministic FSM + Supervised RF + Unsupervised Isolation Forest</w:t>
      </w:r>
    </w:p>
    <w:p>
      <w:pPr>
        <w:spacing w:after="280"/>
      </w:pPr>
    </w:p>
    <w:p>
      <w:pPr>
        <w:pStyle w:val="Heading1"/>
        <w:spacing w:before="240" w:after="160"/>
      </w:pPr>
      <w:r>
        <w:rPr>
          <w:rFonts w:ascii="Calibri" w:hAnsi="Calibri"/>
          <w:color w:val="4F46E5"/>
        </w:rPr>
        <w:t>1. Navigation &amp; Dashboards Overview</w:t>
      </w:r>
    </w:p>
    <w:p>
      <w:pPr>
        <w:spacing w:after="200"/>
      </w:pPr>
      <w:r>
        <w:t>The ProtoGuard NIDS web application features four distinct, interactive dashboards accessible from the primary navigation bar. Each dashboard addresses a specific facet of protocol inspection, empirical evaluation, edge-case testing, or formal automata theory:</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293B"/>
            <w:tcMar>
              <w:top w:w="120" w:type="dxa"/>
              <w:bottom w:w="120" w:type="dxa"/>
              <w:left w:w="140" w:type="dxa"/>
              <w:right w:w="140" w:type="dxa"/>
            </w:tcMar>
          </w:tcPr>
          <w:p>
            <w:pPr>
              <w:jc w:val="left"/>
            </w:pPr>
            <w:r>
              <w:rPr>
                <w:rFonts w:ascii="Calibri" w:hAnsi="Calibri"/>
                <w:b/>
                <w:color w:val="FFFFFF"/>
                <w:sz w:val="20"/>
              </w:rPr>
              <w:t>Dashboard Tab</w:t>
            </w:r>
          </w:p>
        </w:tc>
        <w:tc>
          <w:tcPr>
            <w:tcW w:type="dxa" w:w="3888"/>
            <w:shd w:val="clear" w:color="auto" w:fill="1E293B"/>
            <w:tcMar>
              <w:top w:w="120" w:type="dxa"/>
              <w:bottom w:w="120" w:type="dxa"/>
              <w:left w:w="140" w:type="dxa"/>
              <w:right w:w="140" w:type="dxa"/>
            </w:tcMar>
          </w:tcPr>
          <w:p>
            <w:pPr>
              <w:jc w:val="left"/>
            </w:pPr>
            <w:r>
              <w:rPr>
                <w:rFonts w:ascii="Calibri" w:hAnsi="Calibri"/>
                <w:b/>
                <w:color w:val="FFFFFF"/>
                <w:sz w:val="20"/>
              </w:rPr>
              <w:t>Primary Focus &amp; Capabilities</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20"/>
              </w:rPr>
              <w:t>Target Scenario / Use Case</w:t>
            </w:r>
          </w:p>
        </w:tc>
      </w:tr>
      <w:tr>
        <w:tc>
          <w:tcPr>
            <w:tcW w:type="dxa" w:w="2592"/>
            <w:shd w:val="clear" w:color="auto" w:fill="FFFFFF"/>
            <w:tcMar>
              <w:top w:w="100" w:type="dxa"/>
              <w:bottom w:w="100" w:type="dxa"/>
              <w:left w:w="120" w:type="dxa"/>
              <w:right w:w="120" w:type="dxa"/>
            </w:tcMar>
          </w:tcPr>
          <w:p>
            <w:r>
              <w:rPr>
                <w:rFonts w:ascii="Calibri" w:hAnsi="Calibri"/>
                <w:b/>
                <w:color w:val="4F46E5"/>
                <w:sz w:val="19"/>
              </w:rPr>
              <w:t>1. Live FSM &amp; Simulation</w:t>
            </w:r>
          </w:p>
        </w:tc>
        <w:tc>
          <w:tcPr>
            <w:tcW w:type="dxa" w:w="3888"/>
            <w:shd w:val="clear" w:color="auto" w:fill="FFFFFF"/>
            <w:tcMar>
              <w:top w:w="100" w:type="dxa"/>
              <w:bottom w:w="100" w:type="dxa"/>
              <w:left w:w="120" w:type="dxa"/>
              <w:right w:w="120" w:type="dxa"/>
            </w:tcMar>
          </w:tcPr>
          <w:p>
            <w:r>
              <w:rPr>
                <w:rFonts w:ascii="Calibri" w:hAnsi="Calibri"/>
                <w:sz w:val="19"/>
              </w:rPr>
              <w:t>Real-time step-by-step traffic streaming, animated SVG state machine graph, 3-way scorecard, and security alert modal.</w:t>
            </w:r>
          </w:p>
        </w:tc>
        <w:tc>
          <w:tcPr>
            <w:tcW w:type="dxa" w:w="2880"/>
            <w:shd w:val="clear" w:color="auto" w:fill="FFFFFF"/>
            <w:tcMar>
              <w:top w:w="100" w:type="dxa"/>
              <w:bottom w:w="100" w:type="dxa"/>
              <w:left w:w="120" w:type="dxa"/>
              <w:right w:w="120" w:type="dxa"/>
            </w:tcMar>
          </w:tcPr>
          <w:p>
            <w:r>
              <w:rPr>
                <w:rFonts w:ascii="Calibri" w:hAnsi="Calibri"/>
                <w:sz w:val="19"/>
              </w:rPr>
              <w:t>Live project demonstrations, attack visualization, real-time alert triage.</w:t>
            </w:r>
          </w:p>
        </w:tc>
      </w:tr>
      <w:tr>
        <w:tc>
          <w:tcPr>
            <w:tcW w:type="dxa" w:w="2592"/>
            <w:shd w:val="clear" w:color="auto" w:fill="F1F5F9"/>
            <w:tcMar>
              <w:top w:w="100" w:type="dxa"/>
              <w:bottom w:w="100" w:type="dxa"/>
              <w:left w:w="120" w:type="dxa"/>
              <w:right w:w="120" w:type="dxa"/>
            </w:tcMar>
          </w:tcPr>
          <w:p>
            <w:r>
              <w:rPr>
                <w:rFonts w:ascii="Calibri" w:hAnsi="Calibri"/>
                <w:b/>
                <w:color w:val="4F46E5"/>
                <w:sz w:val="19"/>
              </w:rPr>
              <w:t>2. 3-Way Benchmarking</w:t>
            </w:r>
          </w:p>
        </w:tc>
        <w:tc>
          <w:tcPr>
            <w:tcW w:type="dxa" w:w="3888"/>
            <w:shd w:val="clear" w:color="auto" w:fill="F1F5F9"/>
            <w:tcMar>
              <w:top w:w="100" w:type="dxa"/>
              <w:bottom w:w="100" w:type="dxa"/>
              <w:left w:w="120" w:type="dxa"/>
              <w:right w:w="120" w:type="dxa"/>
            </w:tcMar>
          </w:tcPr>
          <w:p>
            <w:r>
              <w:rPr>
                <w:rFonts w:ascii="Calibri" w:hAnsi="Calibri"/>
                <w:sz w:val="19"/>
              </w:rPr>
              <w:t>Scientific comparison across 300 sessions: Accuracy, Recall, False Alarm Rate, Latency, and Zero-Day Generalization.</w:t>
            </w:r>
          </w:p>
        </w:tc>
        <w:tc>
          <w:tcPr>
            <w:tcW w:type="dxa" w:w="2880"/>
            <w:shd w:val="clear" w:color="auto" w:fill="F1F5F9"/>
            <w:tcMar>
              <w:top w:w="100" w:type="dxa"/>
              <w:bottom w:w="100" w:type="dxa"/>
              <w:left w:w="120" w:type="dxa"/>
              <w:right w:w="120" w:type="dxa"/>
            </w:tcMar>
          </w:tcPr>
          <w:p>
            <w:r>
              <w:rPr>
                <w:rFonts w:ascii="Calibri" w:hAnsi="Calibri"/>
                <w:sz w:val="19"/>
              </w:rPr>
              <w:t>Academic defense, examiner validation, model comparison proofs.</w:t>
            </w:r>
          </w:p>
        </w:tc>
      </w:tr>
      <w:tr>
        <w:tc>
          <w:tcPr>
            <w:tcW w:type="dxa" w:w="2592"/>
            <w:shd w:val="clear" w:color="auto" w:fill="FFFFFF"/>
            <w:tcMar>
              <w:top w:w="100" w:type="dxa"/>
              <w:bottom w:w="100" w:type="dxa"/>
              <w:left w:w="120" w:type="dxa"/>
              <w:right w:w="120" w:type="dxa"/>
            </w:tcMar>
          </w:tcPr>
          <w:p>
            <w:r>
              <w:rPr>
                <w:rFonts w:ascii="Calibri" w:hAnsi="Calibri"/>
                <w:b/>
                <w:color w:val="4F46E5"/>
                <w:sz w:val="19"/>
              </w:rPr>
              <w:t>3. Custom Sequence Tester</w:t>
            </w:r>
          </w:p>
        </w:tc>
        <w:tc>
          <w:tcPr>
            <w:tcW w:type="dxa" w:w="3888"/>
            <w:shd w:val="clear" w:color="auto" w:fill="FFFFFF"/>
            <w:tcMar>
              <w:top w:w="100" w:type="dxa"/>
              <w:bottom w:w="100" w:type="dxa"/>
              <w:left w:w="120" w:type="dxa"/>
              <w:right w:w="120" w:type="dxa"/>
            </w:tcMar>
          </w:tcPr>
          <w:p>
            <w:r>
              <w:rPr>
                <w:rFonts w:ascii="Calibri" w:hAnsi="Calibri"/>
                <w:sz w:val="19"/>
              </w:rPr>
              <w:t>Interactive sequence sandbox with symbol palette, delta-t delay slider, payload controls, and one-click attack presets.</w:t>
            </w:r>
          </w:p>
        </w:tc>
        <w:tc>
          <w:tcPr>
            <w:tcW w:type="dxa" w:w="2880"/>
            <w:shd w:val="clear" w:color="auto" w:fill="FFFFFF"/>
            <w:tcMar>
              <w:top w:w="100" w:type="dxa"/>
              <w:bottom w:w="100" w:type="dxa"/>
              <w:left w:w="120" w:type="dxa"/>
              <w:right w:w="120" w:type="dxa"/>
            </w:tcMar>
          </w:tcPr>
          <w:p>
            <w:r>
              <w:rPr>
                <w:rFonts w:ascii="Calibri" w:hAnsi="Calibri"/>
                <w:sz w:val="19"/>
              </w:rPr>
              <w:t>Manual exploratory testing, what-if analysis, novel sequence checks.</w:t>
            </w:r>
          </w:p>
        </w:tc>
      </w:tr>
      <w:tr>
        <w:tc>
          <w:tcPr>
            <w:tcW w:type="dxa" w:w="2592"/>
            <w:shd w:val="clear" w:color="auto" w:fill="F1F5F9"/>
            <w:tcMar>
              <w:top w:w="100" w:type="dxa"/>
              <w:bottom w:w="100" w:type="dxa"/>
              <w:left w:w="120" w:type="dxa"/>
              <w:right w:w="120" w:type="dxa"/>
            </w:tcMar>
          </w:tcPr>
          <w:p>
            <w:r>
              <w:rPr>
                <w:rFonts w:ascii="Calibri" w:hAnsi="Calibri"/>
                <w:b/>
                <w:color w:val="4F46E5"/>
                <w:sz w:val="19"/>
              </w:rPr>
              <w:t>4. TOC Automata Specs</w:t>
            </w:r>
          </w:p>
        </w:tc>
        <w:tc>
          <w:tcPr>
            <w:tcW w:type="dxa" w:w="3888"/>
            <w:shd w:val="clear" w:color="auto" w:fill="F1F5F9"/>
            <w:tcMar>
              <w:top w:w="100" w:type="dxa"/>
              <w:bottom w:w="100" w:type="dxa"/>
              <w:left w:w="120" w:type="dxa"/>
              <w:right w:w="120" w:type="dxa"/>
            </w:tcMar>
          </w:tcPr>
          <w:p>
            <w:r>
              <w:rPr>
                <w:rFonts w:ascii="Calibri" w:hAnsi="Calibri"/>
                <w:sz w:val="19"/>
              </w:rPr>
              <w:t>Formal mathematical formulation: 5-tuple M = (Q, Sigma, delta, q0, F), Type-3 grammar, and transition matrix.</w:t>
            </w:r>
          </w:p>
        </w:tc>
        <w:tc>
          <w:tcPr>
            <w:tcW w:type="dxa" w:w="2880"/>
            <w:shd w:val="clear" w:color="auto" w:fill="F1F5F9"/>
            <w:tcMar>
              <w:top w:w="100" w:type="dxa"/>
              <w:bottom w:w="100" w:type="dxa"/>
              <w:left w:w="120" w:type="dxa"/>
              <w:right w:w="120" w:type="dxa"/>
            </w:tcMar>
          </w:tcPr>
          <w:p>
            <w:r>
              <w:rPr>
                <w:rFonts w:ascii="Calibri" w:hAnsi="Calibri"/>
                <w:sz w:val="19"/>
              </w:rPr>
              <w:t>Viva defense, automata theory justification, RFC 793 verification.</w:t>
            </w:r>
          </w:p>
        </w:tc>
      </w:tr>
    </w:tbl>
    <w:p>
      <w:pPr>
        <w:spacing w:after="240"/>
      </w:pPr>
    </w:p>
    <w:p>
      <w:pPr>
        <w:pStyle w:val="Heading1"/>
        <w:spacing w:before="320" w:after="160"/>
      </w:pPr>
      <w:r>
        <w:rPr>
          <w:rFonts w:ascii="Calibri" w:hAnsi="Calibri"/>
          <w:color w:val="4F46E5"/>
        </w:rPr>
        <w:t>2. Dashboard 1: Live FSM &amp; Attack Simulation</w:t>
      </w:r>
    </w:p>
    <w:p>
      <w:pPr>
        <w:spacing w:after="160"/>
      </w:pPr>
      <w:r>
        <w:t>The Live Simulation view serves as the operational cockpit of ProtoGuard. It connects to the FastAPI WebSocket (/ws/stream) or REST endpoints to stream packets one-by-one through the detection engine.</w:t>
      </w:r>
    </w:p>
    <w:p>
      <w:pPr>
        <w:spacing w:after="120"/>
      </w:pPr>
      <w:r>
        <w:rPr>
          <w:rFonts w:ascii="Calibri" w:hAnsi="Calibri"/>
          <w:b/>
          <w:color w:val="1E293B"/>
        </w:rPr>
        <w:t xml:space="preserve">• Simulation Control Bar (Header): </w:t>
      </w:r>
      <w:r>
        <w:rPr>
          <w:rFonts w:ascii="Calibri" w:hAnsi="Calibri"/>
          <w:sz w:val="20"/>
        </w:rPr>
        <w:t>Allows the user to select from 7 attack and normal scenarios (Benign, Out-of-Order ACK, Premature Data, Stealth FIN Scan, SYN Flood, Slowloris, Zero-Day). Includes Start, Pause, Reset, and an adjustable Speed Slider (0.5x to 4.0x) for pacing packet delivery.</w:t>
      </w:r>
    </w:p>
    <w:p>
      <w:pPr>
        <w:spacing w:after="120"/>
      </w:pPr>
      <w:r>
        <w:rPr>
          <w:rFonts w:ascii="Calibri" w:hAnsi="Calibri"/>
          <w:b/>
          <w:color w:val="1E293B"/>
        </w:rPr>
        <w:t xml:space="preserve">• Interactive SVG FSM Diagram (Upper Left): </w:t>
      </w:r>
      <w:r>
        <w:rPr>
          <w:rFonts w:ascii="Calibri" w:hAnsi="Calibri"/>
          <w:sz w:val="20"/>
        </w:rPr>
        <w:t>Renders all 11 protocol states as interconnected SVG nodes. The currently active state glows in cyan. As packets arrive, directional transition arrows pulse green for valid RFC 793 transitions. When an illegal packet arrives, the machine flashes red and transitions immediately into ERROR_STATE.</w:t>
      </w:r>
    </w:p>
    <w:p>
      <w:pPr>
        <w:spacing w:after="120"/>
      </w:pPr>
      <w:r>
        <w:rPr>
          <w:rFonts w:ascii="Calibri" w:hAnsi="Calibri"/>
          <w:b/>
          <w:color w:val="1E293B"/>
        </w:rPr>
        <w:t xml:space="preserve">• 3-Way Side-by-Side Detector Scorecard (Lower Left): </w:t>
      </w:r>
      <w:r>
        <w:rPr>
          <w:rFonts w:ascii="Calibri" w:hAnsi="Calibri"/>
          <w:sz w:val="20"/>
        </w:rPr>
        <w:t>Directly contrasts the decisions of all 3 engines on the current session:</w:t>
        <w:br/>
        <w:t xml:space="preserve">  • Rule-Based FSM: Ultra-fast (0.06 ms) syntax checking with 0% false alarms on valid grammar.</w:t>
        <w:br/>
        <w:t xml:space="preserve">  • Pure ML: Supervised Random Forest + Unsupervised Isolation Forest (44.8 ms latency).</w:t>
        <w:br/>
        <w:t xml:space="preserve">  • Hybrid Engine: Blended verdict highlighting whether Stage 1 (FSM gate) or Stage 2 (ML manifold) triggered.</w:t>
      </w:r>
    </w:p>
    <w:p>
      <w:pPr>
        <w:spacing w:after="120"/>
      </w:pPr>
      <w:r>
        <w:rPr>
          <w:rFonts w:ascii="Calibri" w:hAnsi="Calibri"/>
          <w:b/>
          <w:color w:val="1E293B"/>
        </w:rPr>
        <w:t xml:space="preserve">• Security Alert Drawer / Modal (Upper Right): </w:t>
      </w:r>
      <w:r>
        <w:rPr>
          <w:rFonts w:ascii="Calibri" w:hAnsi="Calibri"/>
          <w:sz w:val="20"/>
        </w:rPr>
        <w:t>Triggers automatically when an intrusion is intercepted. It pinpoints the exact offending transition (e.g., CLOSED --(ACK)--&gt; ERROR_STATE), displays legal expected symbols, human-readable mitigation steps, and mapped CVE/CWE and MITRE ATT&amp;CK IDs.</w:t>
      </w:r>
    </w:p>
    <w:p>
      <w:pPr>
        <w:spacing w:after="120"/>
      </w:pPr>
      <w:r>
        <w:rPr>
          <w:rFonts w:ascii="Calibri" w:hAnsi="Calibri"/>
          <w:b/>
          <w:color w:val="1E293B"/>
        </w:rPr>
        <w:t xml:space="preserve">• Real-Time Packet Log Table (Lower Right): </w:t>
      </w:r>
      <w:r>
        <w:rPr>
          <w:rFonts w:ascii="Calibri" w:hAnsi="Calibri"/>
          <w:sz w:val="20"/>
        </w:rPr>
        <w:t>Displays incoming packets in a structured stream: Packet sequence number, timestamp, TCP flag representation (SYN, ACK, PSH), payload size (bytes), inter-arrival time (delta-t), and real-time validity status.</w:t>
      </w:r>
    </w:p>
    <w:p>
      <w:pPr>
        <w:pStyle w:val="Heading1"/>
        <w:spacing w:before="320" w:after="160"/>
      </w:pPr>
      <w:r>
        <w:rPr>
          <w:rFonts w:ascii="Calibri" w:hAnsi="Calibri"/>
          <w:color w:val="4F46E5"/>
        </w:rPr>
        <w:t>3. Dashboard 2: 3-Way Empirical Benchmarking</w:t>
      </w:r>
    </w:p>
    <w:p>
      <w:pPr>
        <w:spacing w:after="160"/>
      </w:pPr>
      <w:r>
        <w:t>The Benchmarking view provides scientific validation of the hybrid architecture across 300 test sessions (2,184 packets) and novel zero-day attack suites. It proves why neither FSM alone nor ML alone is sufficient for comprehensive intrusion detection.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E293B"/>
            <w:tcMar>
              <w:top w:w="120" w:type="dxa"/>
              <w:bottom w:w="120" w:type="dxa"/>
              <w:left w:w="120" w:type="dxa"/>
              <w:right w:w="120" w:type="dxa"/>
            </w:tcMar>
          </w:tcPr>
          <w:p>
            <w:r>
              <w:rPr>
                <w:rFonts w:ascii="Calibri" w:hAnsi="Calibri"/>
                <w:b/>
                <w:color w:val="FFFFFF"/>
                <w:sz w:val="19"/>
              </w:rPr>
              <w:t>Detector Architecture</w:t>
            </w:r>
          </w:p>
        </w:tc>
        <w:tc>
          <w:tcPr>
            <w:tcW w:type="dxa" w:w="1584"/>
            <w:shd w:val="clear" w:color="auto" w:fill="1E293B"/>
            <w:tcMar>
              <w:top w:w="120" w:type="dxa"/>
              <w:bottom w:w="120" w:type="dxa"/>
              <w:left w:w="120" w:type="dxa"/>
              <w:right w:w="120" w:type="dxa"/>
            </w:tcMar>
          </w:tcPr>
          <w:p>
            <w:r>
              <w:rPr>
                <w:rFonts w:ascii="Calibri" w:hAnsi="Calibri"/>
                <w:b/>
                <w:color w:val="FFFFFF"/>
                <w:sz w:val="19"/>
              </w:rPr>
              <w:t>Accuracy (%)</w:t>
            </w:r>
          </w:p>
        </w:tc>
        <w:tc>
          <w:tcPr>
            <w:tcW w:type="dxa" w:w="2016"/>
            <w:shd w:val="clear" w:color="auto" w:fill="1E293B"/>
            <w:tcMar>
              <w:top w:w="120" w:type="dxa"/>
              <w:bottom w:w="120" w:type="dxa"/>
              <w:left w:w="120" w:type="dxa"/>
              <w:right w:w="120" w:type="dxa"/>
            </w:tcMar>
          </w:tcPr>
          <w:p>
            <w:r>
              <w:rPr>
                <w:rFonts w:ascii="Calibri" w:hAnsi="Calibri"/>
                <w:b/>
                <w:color w:val="FFFFFF"/>
                <w:sz w:val="19"/>
              </w:rPr>
              <w:t>Recall / Detection Rate</w:t>
            </w:r>
          </w:p>
        </w:tc>
        <w:tc>
          <w:tcPr>
            <w:tcW w:type="dxa" w:w="1872"/>
            <w:shd w:val="clear" w:color="auto" w:fill="1E293B"/>
            <w:tcMar>
              <w:top w:w="120" w:type="dxa"/>
              <w:bottom w:w="120" w:type="dxa"/>
              <w:left w:w="120" w:type="dxa"/>
              <w:right w:w="120" w:type="dxa"/>
            </w:tcMar>
          </w:tcPr>
          <w:p>
            <w:r>
              <w:rPr>
                <w:rFonts w:ascii="Calibri" w:hAnsi="Calibri"/>
                <w:b/>
                <w:color w:val="FFFFFF"/>
                <w:sz w:val="19"/>
              </w:rPr>
              <w:t>False Alarm Rate (FPR)</w:t>
            </w:r>
          </w:p>
        </w:tc>
        <w:tc>
          <w:tcPr>
            <w:tcW w:type="dxa" w:w="1728"/>
            <w:shd w:val="clear" w:color="auto" w:fill="1E293B"/>
            <w:tcMar>
              <w:top w:w="120" w:type="dxa"/>
              <w:bottom w:w="120" w:type="dxa"/>
              <w:left w:w="120" w:type="dxa"/>
              <w:right w:w="120" w:type="dxa"/>
            </w:tcMar>
          </w:tcPr>
          <w:p>
            <w:r>
              <w:rPr>
                <w:rFonts w:ascii="Calibri" w:hAnsi="Calibri"/>
                <w:b/>
                <w:color w:val="FFFFFF"/>
                <w:sz w:val="19"/>
              </w:rPr>
              <w:t>Average Latency</w:t>
            </w:r>
          </w:p>
        </w:tc>
      </w:tr>
      <w:tr>
        <w:tc>
          <w:tcPr>
            <w:tcW w:type="dxa" w:w="3168"/>
            <w:shd w:val="clear" w:color="auto" w:fill="FFFFFF"/>
            <w:tcMar>
              <w:top w:w="100" w:type="dxa"/>
              <w:bottom w:w="100" w:type="dxa"/>
              <w:left w:w="120" w:type="dxa"/>
              <w:right w:w="120" w:type="dxa"/>
            </w:tcMar>
          </w:tcPr>
          <w:p>
            <w:r>
              <w:rPr>
                <w:rFonts w:ascii="Calibri" w:hAnsi="Calibri"/>
                <w:sz w:val="19"/>
              </w:rPr>
              <w:t>Pure Rule-Based FSM</w:t>
            </w:r>
          </w:p>
        </w:tc>
        <w:tc>
          <w:tcPr>
            <w:tcW w:type="dxa" w:w="1584"/>
            <w:shd w:val="clear" w:color="auto" w:fill="FFFFFF"/>
            <w:tcMar>
              <w:top w:w="100" w:type="dxa"/>
              <w:bottom w:w="100" w:type="dxa"/>
              <w:left w:w="120" w:type="dxa"/>
              <w:right w:w="120" w:type="dxa"/>
            </w:tcMar>
          </w:tcPr>
          <w:p>
            <w:r>
              <w:rPr>
                <w:rFonts w:ascii="Calibri" w:hAnsi="Calibri"/>
                <w:sz w:val="19"/>
              </w:rPr>
              <w:t>77.60%</w:t>
            </w:r>
          </w:p>
        </w:tc>
        <w:tc>
          <w:tcPr>
            <w:tcW w:type="dxa" w:w="2016"/>
            <w:shd w:val="clear" w:color="auto" w:fill="FFFFFF"/>
            <w:tcMar>
              <w:top w:w="100" w:type="dxa"/>
              <w:bottom w:w="100" w:type="dxa"/>
              <w:left w:w="120" w:type="dxa"/>
              <w:right w:w="120" w:type="dxa"/>
            </w:tcMar>
          </w:tcPr>
          <w:p>
            <w:r>
              <w:rPr>
                <w:rFonts w:ascii="Calibri" w:hAnsi="Calibri"/>
                <w:sz w:val="19"/>
              </w:rPr>
              <w:t>36.11%</w:t>
            </w:r>
          </w:p>
        </w:tc>
        <w:tc>
          <w:tcPr>
            <w:tcW w:type="dxa" w:w="1872"/>
            <w:shd w:val="clear" w:color="auto" w:fill="FFFFFF"/>
            <w:tcMar>
              <w:top w:w="100" w:type="dxa"/>
              <w:bottom w:w="100" w:type="dxa"/>
              <w:left w:w="120" w:type="dxa"/>
              <w:right w:w="120" w:type="dxa"/>
            </w:tcMar>
          </w:tcPr>
          <w:p>
            <w:r>
              <w:rPr>
                <w:rFonts w:ascii="Calibri" w:hAnsi="Calibri"/>
                <w:sz w:val="19"/>
              </w:rPr>
              <w:t>0.00%</w:t>
            </w:r>
          </w:p>
        </w:tc>
        <w:tc>
          <w:tcPr>
            <w:tcW w:type="dxa" w:w="1728"/>
            <w:shd w:val="clear" w:color="auto" w:fill="FFFFFF"/>
            <w:tcMar>
              <w:top w:w="100" w:type="dxa"/>
              <w:bottom w:w="100" w:type="dxa"/>
              <w:left w:w="120" w:type="dxa"/>
              <w:right w:w="120" w:type="dxa"/>
            </w:tcMar>
          </w:tcPr>
          <w:p>
            <w:r>
              <w:rPr>
                <w:rFonts w:ascii="Calibri" w:hAnsi="Calibri"/>
                <w:sz w:val="19"/>
              </w:rPr>
              <w:t>0.0608 ms</w:t>
            </w:r>
          </w:p>
        </w:tc>
      </w:tr>
      <w:tr>
        <w:tc>
          <w:tcPr>
            <w:tcW w:type="dxa" w:w="3168"/>
            <w:shd w:val="clear" w:color="auto" w:fill="FFFFFF"/>
            <w:tcMar>
              <w:top w:w="100" w:type="dxa"/>
              <w:bottom w:w="100" w:type="dxa"/>
              <w:left w:w="120" w:type="dxa"/>
              <w:right w:w="120" w:type="dxa"/>
            </w:tcMar>
          </w:tcPr>
          <w:p>
            <w:r>
              <w:rPr>
                <w:rFonts w:ascii="Calibri" w:hAnsi="Calibri"/>
                <w:sz w:val="19"/>
              </w:rPr>
              <w:t>Pure ML (RF + IF)</w:t>
            </w:r>
          </w:p>
        </w:tc>
        <w:tc>
          <w:tcPr>
            <w:tcW w:type="dxa" w:w="1584"/>
            <w:shd w:val="clear" w:color="auto" w:fill="FFFFFF"/>
            <w:tcMar>
              <w:top w:w="100" w:type="dxa"/>
              <w:bottom w:w="100" w:type="dxa"/>
              <w:left w:w="120" w:type="dxa"/>
              <w:right w:w="120" w:type="dxa"/>
            </w:tcMar>
          </w:tcPr>
          <w:p>
            <w:r>
              <w:rPr>
                <w:rFonts w:ascii="Calibri" w:hAnsi="Calibri"/>
                <w:sz w:val="19"/>
              </w:rPr>
              <w:t>97.73%</w:t>
            </w:r>
          </w:p>
        </w:tc>
        <w:tc>
          <w:tcPr>
            <w:tcW w:type="dxa" w:w="2016"/>
            <w:shd w:val="clear" w:color="auto" w:fill="FFFFFF"/>
            <w:tcMar>
              <w:top w:w="100" w:type="dxa"/>
              <w:bottom w:w="100" w:type="dxa"/>
              <w:left w:w="120" w:type="dxa"/>
              <w:right w:w="120" w:type="dxa"/>
            </w:tcMar>
          </w:tcPr>
          <w:p>
            <w:r>
              <w:rPr>
                <w:rFonts w:ascii="Calibri" w:hAnsi="Calibri"/>
                <w:sz w:val="19"/>
              </w:rPr>
              <w:t>100.00%</w:t>
            </w:r>
          </w:p>
        </w:tc>
        <w:tc>
          <w:tcPr>
            <w:tcW w:type="dxa" w:w="1872"/>
            <w:shd w:val="clear" w:color="auto" w:fill="FFFFFF"/>
            <w:tcMar>
              <w:top w:w="100" w:type="dxa"/>
              <w:bottom w:w="100" w:type="dxa"/>
              <w:left w:w="120" w:type="dxa"/>
              <w:right w:w="120" w:type="dxa"/>
            </w:tcMar>
          </w:tcPr>
          <w:p>
            <w:r>
              <w:rPr>
                <w:rFonts w:ascii="Calibri" w:hAnsi="Calibri"/>
                <w:sz w:val="19"/>
              </w:rPr>
              <w:t>3.50%</w:t>
            </w:r>
          </w:p>
        </w:tc>
        <w:tc>
          <w:tcPr>
            <w:tcW w:type="dxa" w:w="1728"/>
            <w:shd w:val="clear" w:color="auto" w:fill="FFFFFF"/>
            <w:tcMar>
              <w:top w:w="100" w:type="dxa"/>
              <w:bottom w:w="100" w:type="dxa"/>
              <w:left w:w="120" w:type="dxa"/>
              <w:right w:w="120" w:type="dxa"/>
            </w:tcMar>
          </w:tcPr>
          <w:p>
            <w:r>
              <w:rPr>
                <w:rFonts w:ascii="Calibri" w:hAnsi="Calibri"/>
                <w:sz w:val="19"/>
              </w:rPr>
              <w:t>44.8408 ms</w:t>
            </w:r>
          </w:p>
        </w:tc>
      </w:tr>
      <w:tr>
        <w:tc>
          <w:tcPr>
            <w:tcW w:type="dxa" w:w="3168"/>
            <w:shd w:val="clear" w:color="auto" w:fill="F1F5F9"/>
            <w:tcMar>
              <w:top w:w="100" w:type="dxa"/>
              <w:bottom w:w="100" w:type="dxa"/>
              <w:left w:w="120" w:type="dxa"/>
              <w:right w:w="120" w:type="dxa"/>
            </w:tcMar>
          </w:tcPr>
          <w:p>
            <w:r>
              <w:rPr>
                <w:rFonts w:ascii="Calibri" w:hAnsi="Calibri"/>
                <w:b/>
                <w:color w:val="4F46E5"/>
                <w:sz w:val="19"/>
              </w:rPr>
              <w:t>Hybrid Engine (Ours)</w:t>
            </w:r>
          </w:p>
        </w:tc>
        <w:tc>
          <w:tcPr>
            <w:tcW w:type="dxa" w:w="1584"/>
            <w:shd w:val="clear" w:color="auto" w:fill="F1F5F9"/>
            <w:tcMar>
              <w:top w:w="100" w:type="dxa"/>
              <w:bottom w:w="100" w:type="dxa"/>
              <w:left w:w="120" w:type="dxa"/>
              <w:right w:w="120" w:type="dxa"/>
            </w:tcMar>
          </w:tcPr>
          <w:p>
            <w:r>
              <w:rPr>
                <w:rFonts w:ascii="Calibri" w:hAnsi="Calibri"/>
                <w:b/>
                <w:color w:val="4F46E5"/>
                <w:sz w:val="19"/>
              </w:rPr>
              <w:t>97.73%</w:t>
            </w:r>
          </w:p>
        </w:tc>
        <w:tc>
          <w:tcPr>
            <w:tcW w:type="dxa" w:w="2016"/>
            <w:shd w:val="clear" w:color="auto" w:fill="F1F5F9"/>
            <w:tcMar>
              <w:top w:w="100" w:type="dxa"/>
              <w:bottom w:w="100" w:type="dxa"/>
              <w:left w:w="120" w:type="dxa"/>
              <w:right w:w="120" w:type="dxa"/>
            </w:tcMar>
          </w:tcPr>
          <w:p>
            <w:r>
              <w:rPr>
                <w:rFonts w:ascii="Calibri" w:hAnsi="Calibri"/>
                <w:b/>
                <w:color w:val="4F46E5"/>
                <w:sz w:val="19"/>
              </w:rPr>
              <w:t>100.00%</w:t>
            </w:r>
          </w:p>
        </w:tc>
        <w:tc>
          <w:tcPr>
            <w:tcW w:type="dxa" w:w="1872"/>
            <w:shd w:val="clear" w:color="auto" w:fill="F1F5F9"/>
            <w:tcMar>
              <w:top w:w="100" w:type="dxa"/>
              <w:bottom w:w="100" w:type="dxa"/>
              <w:left w:w="120" w:type="dxa"/>
              <w:right w:w="120" w:type="dxa"/>
            </w:tcMar>
          </w:tcPr>
          <w:p>
            <w:r>
              <w:rPr>
                <w:rFonts w:ascii="Calibri" w:hAnsi="Calibri"/>
                <w:b/>
                <w:color w:val="4F46E5"/>
                <w:sz w:val="19"/>
              </w:rPr>
              <w:t>3.50%</w:t>
            </w:r>
          </w:p>
        </w:tc>
        <w:tc>
          <w:tcPr>
            <w:tcW w:type="dxa" w:w="1728"/>
            <w:shd w:val="clear" w:color="auto" w:fill="F1F5F9"/>
            <w:tcMar>
              <w:top w:w="100" w:type="dxa"/>
              <w:bottom w:w="100" w:type="dxa"/>
              <w:left w:w="120" w:type="dxa"/>
              <w:right w:w="120" w:type="dxa"/>
            </w:tcMar>
          </w:tcPr>
          <w:p>
            <w:r>
              <w:rPr>
                <w:rFonts w:ascii="Calibri" w:hAnsi="Calibri"/>
                <w:b/>
                <w:color w:val="4F46E5"/>
                <w:sz w:val="19"/>
              </w:rPr>
              <w:t>44.9240 ms</w:t>
            </w:r>
          </w:p>
        </w:tc>
      </w:tr>
    </w:tbl>
    <w:p>
      <w:pPr>
        <w:spacing w:after="200"/>
      </w:pPr>
    </w:p>
    <w:p>
      <w:pPr>
        <w:spacing w:after="120"/>
      </w:pPr>
      <w:r>
        <w:rPr>
          <w:rFonts w:ascii="Calibri" w:hAnsi="Calibri"/>
          <w:b/>
          <w:color w:val="1E293B"/>
        </w:rPr>
        <w:t xml:space="preserve">• Four Core Comparison Cards: </w:t>
      </w:r>
      <w:r>
        <w:rPr>
          <w:rFonts w:ascii="Calibri" w:hAnsi="Calibri"/>
          <w:sz w:val="20"/>
        </w:rPr>
        <w:t>Visual progress bars highlighting Recall, False Positive Rate, Accuracy, and Execution Latency. It visually demonstrates that the FSM is instantaneous (0.06 ms) with 0% false positives, but achieves only 36% recall because it is blind to floods and slow dwell times.</w:t>
      </w:r>
    </w:p>
    <w:p>
      <w:pPr>
        <w:spacing w:after="120"/>
      </w:pPr>
      <w:r>
        <w:rPr>
          <w:rFonts w:ascii="Calibri" w:hAnsi="Calibri"/>
          <w:b/>
          <w:color w:val="1E293B"/>
        </w:rPr>
        <w:t xml:space="preserve">• Zero-Day Generalization Panel: </w:t>
      </w:r>
      <w:r>
        <w:rPr>
          <w:rFonts w:ascii="Calibri" w:hAnsi="Calibri"/>
          <w:sz w:val="20"/>
        </w:rPr>
        <w:t>Evaluates novel, previously unseen sequence probes (such as Handshake Skip to Teardown). Demonstrates how the unsupervised Isolation Forest achieves 100% zero-day detection without requiring prior attack signatures.</w:t>
      </w:r>
    </w:p>
    <w:p>
      <w:pPr>
        <w:spacing w:after="120"/>
      </w:pPr>
      <w:r>
        <w:rPr>
          <w:rFonts w:ascii="Calibri" w:hAnsi="Calibri"/>
          <w:b/>
          <w:color w:val="1E293B"/>
        </w:rPr>
        <w:t xml:space="preserve">• Top-6 Decisive Feature Importances: </w:t>
      </w:r>
      <w:r>
        <w:rPr>
          <w:rFonts w:ascii="Calibri" w:hAnsi="Calibri"/>
          <w:sz w:val="20"/>
        </w:rPr>
        <w:t>A bar chart ranking the most influential variables extracted by the 27-D feature engineering pipeline: fsm_violation_count (28%), markov_log_likelihood (19%), mean_delta_t (14%), event_entropy (11%), syn_ratio (9%), and max_delta_t (8%).</w:t>
      </w:r>
    </w:p>
    <w:p>
      <w:pPr>
        <w:pStyle w:val="Heading1"/>
        <w:spacing w:before="320" w:after="160"/>
      </w:pPr>
      <w:r>
        <w:rPr>
          <w:rFonts w:ascii="Calibri" w:hAnsi="Calibri"/>
          <w:color w:val="4F46E5"/>
        </w:rPr>
        <w:t>4. Dashboard 3: Custom Sequence Tester (Sandbox)</w:t>
      </w:r>
    </w:p>
    <w:p>
      <w:pPr>
        <w:spacing w:after="160"/>
      </w:pPr>
      <w:r>
        <w:t>The Custom Evaluator provides an interactive testing playground where students, evaluators, and security researchers can construct arbitrary packet sequences and evaluate how the hybrid detection pipeline responds in real time.</w:t>
      </w:r>
    </w:p>
    <w:p>
      <w:pPr>
        <w:spacing w:after="120"/>
      </w:pPr>
      <w:r>
        <w:rPr>
          <w:rFonts w:ascii="Calibri" w:hAnsi="Calibri"/>
          <w:b/>
          <w:color w:val="1E293B"/>
        </w:rPr>
        <w:t xml:space="preserve">• Interactive Alphabet Token Palette: </w:t>
      </w:r>
      <w:r>
        <w:rPr>
          <w:rFonts w:ascii="Calibri" w:hAnsi="Calibri"/>
          <w:sz w:val="20"/>
        </w:rPr>
        <w:t>Provides clickable buttons for all 8 formal alphabet symbols: SYN, SYN_ACK, ACK, DATA, FIN, RST, and TIMEOUT. Users can append or delete tokens dynamically to build custom packet words w.</w:t>
      </w:r>
    </w:p>
    <w:p>
      <w:pPr>
        <w:spacing w:after="120"/>
      </w:pPr>
      <w:r>
        <w:rPr>
          <w:rFonts w:ascii="Calibri" w:hAnsi="Calibri"/>
          <w:b/>
          <w:color w:val="1E293B"/>
        </w:rPr>
        <w:t xml:space="preserve">• Traffic Parameter Sliders: </w:t>
      </w:r>
      <w:r>
        <w:rPr>
          <w:rFonts w:ascii="Calibri" w:hAnsi="Calibri"/>
          <w:sz w:val="20"/>
        </w:rPr>
        <w:t>Enables fine-grained parameter tuning: Inter-Arrival Time (delta-t) from 0.0005 seconds (high-frequency burst) to 35.0 seconds (Slowloris dwell delay), and Payload Size from 0 bytes (header-only probes) up to 1024 bytes (buffer payloads).</w:t>
      </w:r>
    </w:p>
    <w:p>
      <w:pPr>
        <w:spacing w:after="120"/>
      </w:pPr>
      <w:r>
        <w:rPr>
          <w:rFonts w:ascii="Calibri" w:hAnsi="Calibri"/>
          <w:b/>
          <w:color w:val="1E293B"/>
        </w:rPr>
        <w:t xml:space="preserve">• One-Click Attack Presets: </w:t>
      </w:r>
      <w:r>
        <w:rPr>
          <w:rFonts w:ascii="Calibri" w:hAnsi="Calibri"/>
          <w:sz w:val="20"/>
        </w:rPr>
        <w:t>Six pre-loaded scenarios for quick evaluation: Standard RFC 793 Session, Out-of-Order ACK on Closed Socket, Premature Payload Injection, Stealth FIN Scan, Repeated SYN Burst, and Slowloris Stall.</w:t>
      </w:r>
    </w:p>
    <w:p>
      <w:pPr>
        <w:spacing w:after="120"/>
      </w:pPr>
      <w:r>
        <w:rPr>
          <w:rFonts w:ascii="Calibri" w:hAnsi="Calibri"/>
          <w:b/>
          <w:color w:val="1E293B"/>
        </w:rPr>
        <w:t xml:space="preserve">• Instant Decision Breakdown Panel: </w:t>
      </w:r>
      <w:r>
        <w:rPr>
          <w:rFonts w:ascii="Calibri" w:hAnsi="Calibri"/>
          <w:sz w:val="20"/>
        </w:rPr>
        <w:t>Displays the live result from /api/detect/custom, showing whether the FSM accepted or trapped the sequence, the step-by-step state traversal path, ML probability scores, and the triggered hybrid stage.</w:t>
      </w:r>
    </w:p>
    <w:p>
      <w:pPr>
        <w:pStyle w:val="Heading1"/>
        <w:spacing w:before="320" w:after="160"/>
      </w:pPr>
      <w:r>
        <w:rPr>
          <w:rFonts w:ascii="Calibri" w:hAnsi="Calibri"/>
          <w:color w:val="4F46E5"/>
        </w:rPr>
        <w:t>5. Dashboard 4: TOC Automata Specifications</w:t>
      </w:r>
    </w:p>
    <w:p>
      <w:pPr>
        <w:spacing w:after="160"/>
      </w:pPr>
      <w:r>
        <w:t>The Automata Specs dashboard grounds the entire software application in rigorous mathematical Theory of Computation (TOC). It serves as the primary reference during academic viva and project reviews.</w:t>
      </w:r>
    </w:p>
    <w:p>
      <w:pPr>
        <w:spacing w:after="120"/>
      </w:pPr>
      <w:r>
        <w:rPr>
          <w:rFonts w:ascii="Calibri" w:hAnsi="Calibri"/>
          <w:b/>
          <w:color w:val="1E293B"/>
        </w:rPr>
        <w:t xml:space="preserve">• Formal 5-Tuple Definition: M = (Q, Sigma, delta, q0, F): </w:t>
      </w:r>
      <w:r>
        <w:rPr>
          <w:rFonts w:ascii="Calibri" w:hAnsi="Calibri"/>
          <w:sz w:val="20"/>
        </w:rPr>
        <w:t>Displays the exact mathematical parameters:</w:t>
        <w:br/>
        <w:t xml:space="preserve">  • Q (11 States): {CLOSED, LISTEN, SYN_SENT, SYN_RCVD, ESTABLISHED, FIN_WAIT_1, FIN_WAIT_2, CLOSE_WAIT, LAST_ACK, TIME_WAIT, ERROR_STATE}</w:t>
        <w:br/>
        <w:t xml:space="preserve">  • Sigma (8 Symbols): {LISTEN, SYN, SYN_ACK, ACK, DATA, FIN, RST, TIMEOUT}</w:t>
        <w:br/>
        <w:t xml:space="preserve">  • q0 (Initial State): CLOSED</w:t>
        <w:br/>
        <w:t xml:space="preserve">  • F (Accept States): {CLOSED, TIME_WAIT}</w:t>
      </w:r>
    </w:p>
    <w:p>
      <w:pPr>
        <w:spacing w:after="120"/>
      </w:pPr>
      <w:r>
        <w:rPr>
          <w:rFonts w:ascii="Calibri" w:hAnsi="Calibri"/>
          <w:b/>
          <w:color w:val="1E293B"/>
        </w:rPr>
        <w:t xml:space="preserve">• Right-Linear Regular Grammar (Type-3): </w:t>
      </w:r>
      <w:r>
        <w:rPr>
          <w:rFonts w:ascii="Calibri" w:hAnsi="Calibri"/>
          <w:sz w:val="20"/>
        </w:rPr>
        <w:t>Formalizes normal network communication as a regular language L(M) with linear production rules (e.g., S -&gt; SYN A, A -&gt; SYN_ACK B, B -&gt; DATA B | FIN C).</w:t>
      </w:r>
    </w:p>
    <w:p>
      <w:pPr>
        <w:spacing w:after="120"/>
      </w:pPr>
      <w:r>
        <w:rPr>
          <w:rFonts w:ascii="Calibri" w:hAnsi="Calibri"/>
          <w:b/>
          <w:color w:val="1E293B"/>
        </w:rPr>
        <w:t xml:space="preserve">• Complement Anomaly Language Proof: </w:t>
      </w:r>
      <w:r>
        <w:rPr>
          <w:rFonts w:ascii="Calibri" w:hAnsi="Calibri"/>
          <w:sz w:val="20"/>
        </w:rPr>
        <w:t>Formulates network intrusion mathematically as: L_anomaly = Sigma* \ L(M). Any sequence attempting an undefined transition delta(s, e) = empty is proven to belong to the anomaly language and transitions to ERROR_STATE.</w:t>
      </w:r>
    </w:p>
    <w:p>
      <w:pPr>
        <w:spacing w:after="120"/>
      </w:pPr>
      <w:r>
        <w:rPr>
          <w:rFonts w:ascii="Calibri" w:hAnsi="Calibri"/>
          <w:b/>
          <w:color w:val="1E293B"/>
        </w:rPr>
        <w:t xml:space="preserve">• State Transition Matrix M[s][s']: </w:t>
      </w:r>
      <w:r>
        <w:rPr>
          <w:rFonts w:ascii="Calibri" w:hAnsi="Calibri"/>
          <w:sz w:val="20"/>
        </w:rPr>
        <w:t>An interactive transition table showing legal symbol mappings between every state pair, making it easy to inspect why specific transitions succeed or fail.</w:t>
      </w:r>
    </w:p>
    <w:p>
      <w:pPr>
        <w:pStyle w:val="Heading1"/>
        <w:spacing w:before="320" w:after="160"/>
      </w:pPr>
      <w:r>
        <w:rPr>
          <w:rFonts w:ascii="Calibri" w:hAnsi="Calibri"/>
          <w:color w:val="4F46E5"/>
        </w:rPr>
        <w:t>6. Key Takeaways for Project Presentation &amp; Defense</w:t>
      </w:r>
    </w:p>
    <w:p>
      <w:pPr>
        <w:spacing w:after="120"/>
      </w:pPr>
      <w:r>
        <w:rPr>
          <w:rFonts w:ascii="Calibri" w:hAnsi="Calibri"/>
          <w:b/>
          <w:color w:val="1E293B"/>
        </w:rPr>
        <w:t xml:space="preserve">• Why Automata Alone is Incomplete: </w:t>
      </w:r>
      <w:r>
        <w:rPr>
          <w:rFonts w:ascii="Calibri" w:hAnsi="Calibri"/>
          <w:sz w:val="20"/>
        </w:rPr>
        <w:t>FSMs verify syntactic validity delta(s, e). In SYN Floods (Scenario 5) and Slowloris (Scenario 6), all packets are syntactically legal, leaving the FSM blind to volumetric rates and temporal dwell times.</w:t>
      </w:r>
    </w:p>
    <w:p>
      <w:pPr>
        <w:spacing w:after="120"/>
      </w:pPr>
      <w:r>
        <w:rPr>
          <w:rFonts w:ascii="Calibri" w:hAnsi="Calibri"/>
          <w:b/>
          <w:color w:val="1E293B"/>
        </w:rPr>
        <w:t xml:space="preserve">• Why Machine Learning Alone is Incomplete: </w:t>
      </w:r>
      <w:r>
        <w:rPr>
          <w:rFonts w:ascii="Calibri" w:hAnsi="Calibri"/>
          <w:sz w:val="20"/>
        </w:rPr>
        <w:t>ML classifiers require heavy feature extraction latency (44.8 ms vs 0.06 ms) and introduce a 3.5% false positive rate on legitimate flows.</w:t>
      </w:r>
    </w:p>
    <w:p>
      <w:pPr>
        <w:spacing w:after="120"/>
      </w:pPr>
      <w:r>
        <w:rPr>
          <w:rFonts w:ascii="Calibri" w:hAnsi="Calibri"/>
          <w:b/>
          <w:color w:val="1E293B"/>
        </w:rPr>
        <w:t xml:space="preserve">• The Power of the Hybrid Architecture: </w:t>
      </w:r>
      <w:r>
        <w:rPr>
          <w:rFonts w:ascii="Calibri" w:hAnsi="Calibri"/>
          <w:sz w:val="20"/>
        </w:rPr>
        <w:t>By filtering traffic through the FSM at Stage 1, grammatical violations are trapped in microseconds with 0% false positives. Grammatically legal traffic is then passed to Stage 2 ML to intercept volumetric and temporal anomalies, achieving an unbroken 100% detection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