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after="180" w:before="360" w:line="335.99999999999994" w:lineRule="auto"/>
        <w:rPr>
          <w:color w:val="eef0ff"/>
          <w:sz w:val="30"/>
          <w:szCs w:val="30"/>
        </w:rPr>
      </w:pPr>
      <w:r w:rsidDel="00000000" w:rsidR="00000000" w:rsidRPr="00000000">
        <w:rPr>
          <w:color w:val="eef0ff"/>
          <w:sz w:val="30"/>
          <w:szCs w:val="30"/>
          <w:rtl w:val="0"/>
        </w:rPr>
        <w:t xml:space="preserve">Key Characteristics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18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Autonomy &amp; Agency: Acts independently with purpose, rather than just following predefined rules or prompts.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Goal-Oriented: Focuses on achieving higher-level objectives by planning and executing multi-step tasks.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Planning &amp; Reasoning: Breaks down goals into subtasks, strategizes, and uses logic to decide on the best actions.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Tool Use: Connects with external systems (APIs, databases, software) to perform actions, not just generate text.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Learning &amp; Adaptation: Monitors outcomes, learns from interactions, and refines its behavior for better future performance.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1f1f1f" w:val="clear"/>
        <w:spacing w:after="420" w:before="0" w:beforeAutospacing="0" w:line="360" w:lineRule="auto"/>
        <w:ind w:left="720" w:hanging="360"/>
      </w:pPr>
      <w:r w:rsidDel="00000000" w:rsidR="00000000" w:rsidRPr="00000000">
        <w:rPr>
          <w:color w:val="e6e8f0"/>
          <w:sz w:val="24"/>
          <w:szCs w:val="24"/>
          <w:rtl w:val="0"/>
        </w:rPr>
        <w:t xml:space="preserve">Contextual Awareness: Understands the environment and situation to make informed, context-aware decisions.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e6e8f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