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New Event-20260612_092025-Meeting Recording</w:t>
      </w:r>
    </w:p>
    <w:p>
      <w:pPr>
        <w:spacing w:after="100"/>
      </w:pPr>
      <w:r>
        <w:rPr>
          <w:color w:val="605e5c"/>
          <w:sz w:val="3mm"/>
          <w:szCs w:val="3mm"/>
          <w:rFonts w:ascii="Segoe UI" w:cs="Segoe UI" w:eastAsia="Segoe UI" w:hAnsi="Segoe UI"/>
        </w:rPr>
        <w:t xml:space="preserve">12 June 2026, 03:50am</w:t>
      </w:r>
    </w:p>
    <w:p>
      <w:pPr>
        <w:spacing w:after="100"/>
      </w:pPr>
      <w:r>
        <w:rPr>
          <w:color w:val="605e5c"/>
          <w:sz w:val="3mm"/>
          <w:szCs w:val="3mm"/>
          <w:rFonts w:ascii="Segoe UI" w:cs="Segoe UI" w:eastAsia="Segoe UI" w:hAnsi="Segoe UI"/>
        </w:rPr>
        <w:t xml:space="preserve">4m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Patil, Harshal Sharadchandra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Patil, Harshal Sharadchandra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The code base structure, so.</w:t>
      </w:r>
      <w:r>
        <w:rPr>
          <w:color w:val="323130"/>
          <w:sz w:val="4.3mm"/>
          <w:szCs w:val="4.3mm"/>
          <w:rFonts w:ascii="Segoe UI" w:cs="Segoe UI" w:eastAsia="Segoe UI" w:hAnsi="Segoe UI"/>
        </w:rPr>
        <w:br/>
        <w:t xml:space="preserve">App.py is the main file. It uses Gradio as a main package for.</w:t>
      </w:r>
      <w:r>
        <w:rPr>
          <w:color w:val="323130"/>
          <w:sz w:val="4.3mm"/>
          <w:szCs w:val="4.3mm"/>
          <w:rFonts w:ascii="Segoe UI" w:cs="Segoe UI" w:eastAsia="Segoe UI" w:hAnsi="Segoe UI"/>
        </w:rPr>
        <w:br/>
        <w:t xml:space="preserve">Uy.</w:t>
      </w:r>
      <w:r>
        <w:rPr>
          <w:color w:val="323130"/>
          <w:sz w:val="4.3mm"/>
          <w:szCs w:val="4.3mm"/>
          <w:rFonts w:ascii="Segoe UI" w:cs="Segoe UI" w:eastAsia="Segoe UI" w:hAnsi="Segoe UI"/>
        </w:rPr>
        <w:br/>
        <w:t xml:space="preserve">So app.py essentially initially it loads various config files from CSVs for the private LLMs, for t-shirt sizes, for...</w:t>
      </w:r>
      <w:r>
        <w:rPr>
          <w:color w:val="323130"/>
          <w:sz w:val="4.3mm"/>
          <w:szCs w:val="4.3mm"/>
          <w:rFonts w:ascii="Segoe UI" w:cs="Segoe UI" w:eastAsia="Segoe UI" w:hAnsi="Segoe UI"/>
        </w:rPr>
        <w:br/>
        <w:t xml:space="preserve">public LLMs. And then it has these kind of update underscore GreenLake underscore Uy update underscore PCI underscore Uy.</w:t>
      </w:r>
      <w:r>
        <w:rPr>
          <w:color w:val="323130"/>
          <w:sz w:val="4.3mm"/>
          <w:szCs w:val="4.3mm"/>
          <w:rFonts w:ascii="Segoe UI" w:cs="Segoe UI" w:eastAsia="Segoe UI" w:hAnsi="Segoe UI"/>
        </w:rPr>
        <w:br/>
        <w:t xml:space="preserve">and then update.</w:t>
      </w:r>
      <w:r>
        <w:rPr>
          <w:color w:val="323130"/>
          <w:sz w:val="4.3mm"/>
          <w:szCs w:val="4.3mm"/>
          <w:rFonts w:ascii="Segoe UI" w:cs="Segoe UI" w:eastAsia="Segoe UI" w:hAnsi="Segoe UI"/>
        </w:rPr>
        <w:br/>
        <w:t xml:space="preserve">Update underscore UI. These are the three functions. So update underscore UI is function for the public cloud tab. Update PCI UI is for the CapEx. And update GreenLake UI is for the GreenLake. So these are basically the...</w:t>
      </w:r>
      <w:r>
        <w:rPr>
          <w:color w:val="323130"/>
          <w:sz w:val="4.3mm"/>
          <w:szCs w:val="4.3mm"/>
          <w:rFonts w:ascii="Segoe UI" w:cs="Segoe UI" w:eastAsia="Segoe UI" w:hAnsi="Segoe UI"/>
        </w:rPr>
        <w:br/>
        <w:t xml:space="preserve">functions that trigger the interactivity and these are the functions that also on the back end called the calculate functions.</w:t>
      </w:r>
      <w:r>
        <w:rPr>
          <w:color w:val="323130"/>
          <w:sz w:val="4.3mm"/>
          <w:szCs w:val="4.3mm"/>
          <w:rFonts w:ascii="Segoe UI" w:cs="Segoe UI" w:eastAsia="Segoe UI" w:hAnsi="Segoe UI"/>
        </w:rPr>
        <w:br/>
        <w:t xml:space="preserve">So the calculate functions will be, for example, calculate PCI costs. These will be for the CapEx. Then there will be calculate GreenLake metrics, which is for the GreenLake computation. So that's how the back-end computations are.</w:t>
      </w:r>
      <w:r>
        <w:rPr>
          <w:color w:val="323130"/>
          <w:sz w:val="4.3mm"/>
          <w:szCs w:val="4.3mm"/>
          <w:rFonts w:ascii="Segoe UI" w:cs="Segoe UI" w:eastAsia="Segoe UI" w:hAnsi="Segoe UI"/>
        </w:rPr>
        <w:br/>
        <w:t xml:space="preserve">linked from the UI. Then there are the gradial elements. So there's a BLOB, there are different rows, columns, etc. All the gradial elements are defined. And then at the end, there's interactive.</w:t>
      </w:r>
      <w:r>
        <w:rPr>
          <w:color w:val="323130"/>
          <w:sz w:val="4.3mm"/>
          <w:szCs w:val="4.3mm"/>
          <w:rFonts w:ascii="Segoe UI" w:cs="Segoe UI" w:eastAsia="Segoe UI" w:hAnsi="Segoe UI"/>
        </w:rPr>
        <w:br/>
        <w:t xml:space="preserve">So, in interactivity, then firstly, we have maintained a overall update function for the master update button, and then, and then you know, we basically pack all gradio.</w:t>
      </w:r>
      <w:r>
        <w:rPr>
          <w:color w:val="323130"/>
          <w:sz w:val="4.3mm"/>
          <w:szCs w:val="4.3mm"/>
          <w:rFonts w:ascii="Segoe UI" w:cs="Segoe UI" w:eastAsia="Segoe UI" w:hAnsi="Segoe UI"/>
        </w:rPr>
        <w:br/>
        <w:t xml:space="preserve">objects from all tabs and then we pass it to a function for updating all of tabs, right? So the function for updating all tabs is called refresh all tabs. So that's how the refreshing of radio works. So that's the main part of it.</w:t>
      </w:r>
      <w:r>
        <w:rPr>
          <w:color w:val="323130"/>
          <w:sz w:val="4.3mm"/>
          <w:szCs w:val="4.3mm"/>
          <w:rFonts w:ascii="Segoe UI" w:cs="Segoe UI" w:eastAsia="Segoe UI" w:hAnsi="Segoe UI"/>
        </w:rPr>
        <w:br/>
        <w:t xml:space="preserve">Then on the back end, we got a modules directory which has calculations.py. So this has all the calculate cloud costs and calculate PCI costs and calculate GreenLake metrics and all those back end functions sit here.</w:t>
      </w:r>
      <w:r>
        <w:rPr>
          <w:color w:val="323130"/>
          <w:sz w:val="4.3mm"/>
          <w:szCs w:val="4.3mm"/>
          <w:rFonts w:ascii="Segoe UI" w:cs="Segoe UI" w:eastAsia="Segoe UI" w:hAnsi="Segoe UI"/>
        </w:rPr>
        <w:br/>
        <w:t xml:space="preserve">Similarly, we have a Uy directory, subdirectory, which has all the styling. So it defines the HP colors, it defines various themes, it defines the custom CSS required for formatting all the greedy objects.</w:t>
      </w:r>
      <w:r>
        <w:rPr>
          <w:color w:val="323130"/>
          <w:sz w:val="4.3mm"/>
          <w:szCs w:val="4.3mm"/>
          <w:rFonts w:ascii="Segoe UI" w:cs="Segoe UI" w:eastAsia="Segoe UI" w:hAnsi="Segoe UI"/>
        </w:rPr>
        <w:br/>
        <w:t xml:space="preserve">And so on and so forth, so that is that, and then the input CSVs are all in the root directory which are loaded, and then of course there's a there's a there's a Python virtual environment right which loads.</w:t>
      </w:r>
      <w:r>
        <w:rPr>
          <w:color w:val="323130"/>
          <w:sz w:val="4.3mm"/>
          <w:szCs w:val="4.3mm"/>
          <w:rFonts w:ascii="Segoe UI" w:cs="Segoe UI" w:eastAsia="Segoe UI" w:hAnsi="Segoe UI"/>
        </w:rPr>
        <w:br/>
        <w:t xml:space="preserve">So all the packages are in the pip list 120626.txt file. So that's basically how the code is structured.</w:t>
      </w:r>
      <w:r>
        <w:rPr>
          <w:color w:val="323130"/>
          <w:sz w:val="4.3mm"/>
          <w:szCs w:val="4.3mm"/>
          <w:rFonts w:ascii="Segoe UI" w:cs="Segoe UI" w:eastAsia="Segoe UI" w:hAnsi="Segoe UI"/>
        </w:rPr>
        <w:br/>
        <w:t xml:space="preserve">And for any modification, we need to keep it consistent in terms of its structure, its frameworks, and how the computations are done.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Patil, Harshal Sharadchandra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tgn7hzs_2rrlljpix1ar.png"/><Relationship Id="rId7" Type="http://schemas.openxmlformats.org/officeDocument/2006/relationships/image" Target="media/_-vhmu8kem6vp4vp4nmai.png"/><Relationship Id="rId8" Type="http://schemas.openxmlformats.org/officeDocument/2006/relationships/image" Target="media/hudwigk_i-y8ekbom6es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2026-06-12T03:56:13.425Z</dcterms:created>
  <dcterms:modified xsi:type="dcterms:W3CDTF">2026-06-12T03:56:13.425Z</dcterms:modified>
</cp:coreProperties>
</file>

<file path=docProps/custom.xml><?xml version="1.0" encoding="utf-8"?>
<Properties xmlns="http://schemas.openxmlformats.org/officeDocument/2006/custom-properties" xmlns:vt="http://schemas.openxmlformats.org/officeDocument/2006/docPropsVTypes"/>
</file>