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0"/>
        <w:jc w:val="center"/>
      </w:pPr>
      <w:r>
        <w:rPr>
          <w:b/>
          <w:i w:val="0"/>
          <w:color w:val="0F7865"/>
          <w:sz w:val="60"/>
        </w:rPr>
        <w:t>AL MANARA</w:t>
      </w:r>
    </w:p>
    <w:p>
      <w:pPr>
        <w:spacing w:after="40"/>
        <w:jc w:val="center"/>
      </w:pPr>
      <w:r>
        <w:rPr>
          <w:b w:val="0"/>
          <w:i w:val="0"/>
          <w:color w:val="0D1524"/>
          <w:sz w:val="36"/>
        </w:rPr>
        <w:t>Property Management System</w:t>
      </w:r>
    </w:p>
    <w:p>
      <w:pPr>
        <w:spacing w:after="600"/>
        <w:jc w:val="center"/>
      </w:pPr>
      <w:r>
        <w:rPr>
          <w:b w:val="0"/>
          <w:i w:val="0"/>
          <w:color w:val="5B6980"/>
          <w:sz w:val="24"/>
        </w:rPr>
        <w:t>System Documentation</w:t>
      </w:r>
    </w:p>
    <w:p>
      <w:pPr>
        <w:ind w:left="1296" w:right="1296"/>
        <w:jc w:val="center"/>
      </w:pPr>
      <w:r>
        <w:rPr>
          <w:b w:val="0"/>
          <w:i w:val="0"/>
          <w:color w:val="5B6980"/>
          <w:sz w:val="22"/>
        </w:rPr>
        <w:t>A guided property management system covering the full tenancy lifecycle — leasing, post-dated cheque collection, returns, renewals and maintenance — with every procedure enforced step by step.</w:t>
      </w:r>
    </w:p>
    <w:p/>
    <w:p/>
    <w:p/>
    <w:p/>
    <w:p/>
    <w:p/>
    <w:p/>
    <w:p/>
    <w:p/>
    <w:p>
      <w:pPr>
        <w:jc w:val="center"/>
      </w:pPr>
      <w:r>
        <w:rPr>
          <w:b/>
          <w:i w:val="0"/>
          <w:color w:val="0F7865"/>
          <w:sz w:val="20"/>
        </w:rPr>
        <w:t>6 buildings   ·   450 units   ·   6 staff roles   ·   5 guided procedures</w:t>
      </w:r>
    </w:p>
    <w:p>
      <w:pPr>
        <w:jc w:val="center"/>
      </w:pPr>
      <w:r>
        <w:rPr>
          <w:b w:val="0"/>
          <w:i w:val="0"/>
          <w:color w:val="5B6980"/>
          <w:sz w:val="18"/>
        </w:rPr>
        <w:t>Internal system — not for public distribution</w:t>
      </w:r>
    </w:p>
    <w:p>
      <w:r>
        <w:br w:type="page"/>
      </w:r>
    </w:p>
    <w:p>
      <w:pPr>
        <w:pStyle w:val="Heading1"/>
      </w:pPr>
      <w:r>
        <w:t>Contents</w:t>
      </w:r>
    </w:p>
    <w:p>
      <w:pPr>
        <w:spacing w:after="60"/>
      </w:pPr>
      <w:r>
        <w:rPr>
          <w:b/>
          <w:color w:val="0F7865"/>
        </w:rPr>
        <w:t xml:space="preserve">1.  </w:t>
      </w:r>
      <w:r>
        <w:t>Overview</w:t>
      </w:r>
    </w:p>
    <w:p>
      <w:pPr>
        <w:spacing w:after="60"/>
      </w:pPr>
      <w:r>
        <w:rPr>
          <w:b/>
          <w:color w:val="0F7865"/>
        </w:rPr>
        <w:t xml:space="preserve">2.  </w:t>
      </w:r>
      <w:r>
        <w:t>Why it works this way</w:t>
      </w:r>
    </w:p>
    <w:p>
      <w:pPr>
        <w:spacing w:after="60"/>
      </w:pPr>
      <w:r>
        <w:rPr>
          <w:b/>
          <w:color w:val="0F7865"/>
        </w:rPr>
        <w:t xml:space="preserve">3.  </w:t>
      </w:r>
      <w:r>
        <w:t>Getting started</w:t>
      </w:r>
    </w:p>
    <w:p>
      <w:pPr>
        <w:spacing w:after="60"/>
      </w:pPr>
      <w:r>
        <w:rPr>
          <w:b/>
          <w:color w:val="0F7865"/>
        </w:rPr>
        <w:t xml:space="preserve">4.  </w:t>
      </w:r>
      <w:r>
        <w:t>Roles and permissions</w:t>
      </w:r>
    </w:p>
    <w:p>
      <w:pPr>
        <w:spacing w:after="60"/>
      </w:pPr>
      <w:r>
        <w:rPr>
          <w:b/>
          <w:color w:val="0F7865"/>
        </w:rPr>
        <w:t xml:space="preserve">5.  </w:t>
      </w:r>
      <w:r>
        <w:t>Features by module</w:t>
      </w:r>
    </w:p>
    <w:p>
      <w:pPr>
        <w:spacing w:after="60"/>
      </w:pPr>
      <w:r>
        <w:rPr>
          <w:b/>
          <w:color w:val="0F7865"/>
        </w:rPr>
        <w:t xml:space="preserve">6.  </w:t>
      </w:r>
      <w:r>
        <w:t>The guided procedures</w:t>
      </w:r>
    </w:p>
    <w:p>
      <w:pPr>
        <w:spacing w:after="60"/>
      </w:pPr>
      <w:r>
        <w:rPr>
          <w:b/>
          <w:color w:val="0F7865"/>
        </w:rPr>
        <w:t xml:space="preserve">7.  </w:t>
      </w:r>
      <w:r>
        <w:t>Business rules enforced</w:t>
      </w:r>
    </w:p>
    <w:p>
      <w:pPr>
        <w:spacing w:after="60"/>
      </w:pPr>
      <w:r>
        <w:rPr>
          <w:b/>
          <w:color w:val="0F7865"/>
        </w:rPr>
        <w:t xml:space="preserve">8.  </w:t>
      </w:r>
      <w:r>
        <w:t>Approvals</w:t>
      </w:r>
    </w:p>
    <w:p>
      <w:pPr>
        <w:spacing w:after="60"/>
      </w:pPr>
      <w:r>
        <w:rPr>
          <w:b/>
          <w:color w:val="0F7865"/>
        </w:rPr>
        <w:t xml:space="preserve">9.  </w:t>
      </w:r>
      <w:r>
        <w:t>Design system</w:t>
      </w:r>
    </w:p>
    <w:p>
      <w:pPr>
        <w:spacing w:after="60"/>
      </w:pPr>
      <w:r>
        <w:rPr>
          <w:b/>
          <w:color w:val="0F7865"/>
        </w:rPr>
        <w:t xml:space="preserve">10.  </w:t>
      </w:r>
      <w:r>
        <w:t>Architecture</w:t>
      </w:r>
    </w:p>
    <w:p>
      <w:pPr>
        <w:spacing w:after="60"/>
      </w:pPr>
      <w:r>
        <w:rPr>
          <w:b/>
          <w:color w:val="0F7865"/>
        </w:rPr>
        <w:t xml:space="preserve">11.  </w:t>
      </w:r>
      <w:r>
        <w:t>Scripts</w:t>
      </w:r>
    </w:p>
    <w:p>
      <w:pPr>
        <w:spacing w:after="60"/>
      </w:pPr>
      <w:r>
        <w:rPr>
          <w:b/>
          <w:color w:val="0F7865"/>
        </w:rPr>
        <w:t xml:space="preserve">12.  </w:t>
      </w:r>
      <w:r>
        <w:t>Testing</w:t>
      </w:r>
    </w:p>
    <w:p>
      <w:pPr>
        <w:spacing w:after="60"/>
      </w:pPr>
      <w:r>
        <w:rPr>
          <w:b/>
          <w:color w:val="0F7865"/>
        </w:rPr>
        <w:t xml:space="preserve">13.  </w:t>
      </w:r>
      <w:r>
        <w:t>Deployment</w:t>
      </w:r>
    </w:p>
    <w:p>
      <w:pPr>
        <w:spacing w:after="60"/>
      </w:pPr>
      <w:r>
        <w:rPr>
          <w:b/>
          <w:color w:val="0F7865"/>
        </w:rPr>
        <w:t xml:space="preserve">14.  </w:t>
      </w:r>
      <w:r>
        <w:t>Production readiness</w:t>
      </w:r>
    </w:p>
    <w:p>
      <w:r>
        <w:br w:type="page"/>
      </w:r>
    </w:p>
    <w:p>
      <w:pPr>
        <w:pStyle w:val="Heading1"/>
      </w:pPr>
      <w:r>
        <w:t>1.  Overview</w:t>
      </w:r>
    </w:p>
    <w:p>
      <w:r>
        <w:rPr>
          <w:b w:val="0"/>
          <w:i w:val="0"/>
        </w:rPr>
        <w:t>Al Manara PMS is an internal system for a UAE residential landlord. It covers the complete tenancy lifecycle: leasing a unit, collecting and banking post-dated cheques, handling returned cheques, renewing or ending a tenancy, and running maintenance work orders.</w:t>
      </w:r>
    </w:p>
    <w:p>
      <w:r>
        <w:rPr>
          <w:b w:val="0"/>
          <w:i w:val="0"/>
        </w:rPr>
        <w:t>Its defining characteristic is that multi-step tasks are delivered as guided wizards rather than blank forms. The system presents one step at a time, states exactly what is required, and refuses to advance until the step is complete and valid.</w:t>
      </w:r>
    </w:p>
    <w:p>
      <w:r>
        <w:rPr>
          <w:b w:val="0"/>
          <w:i w:val="0"/>
        </w:rPr>
        <w:t>The demo portfolio consists of 6 buildings and 450 units.</w:t>
      </w:r>
    </w:p>
    <w:tbl>
      <w:tblPr>
        <w:tblStyle w:val="TableGrid"/>
        <w:tblW w:type="auto" w:w="0"/>
        <w:tblLook w:firstColumn="1" w:firstRow="1" w:lastColumn="0" w:lastRow="0" w:noHBand="0" w:noVBand="1" w:val="04A0"/>
      </w:tblPr>
      <w:tblGrid>
        <w:gridCol w:w="8640"/>
      </w:tblGrid>
      <w:tr>
        <w:tc>
          <w:tcPr>
            <w:tcW w:type="dxa" w:w="8640"/>
            <w:shd w:val="clear" w:fill="F1F4F8"/>
          </w:tcPr>
          <w:p>
            <w:r/>
            <w:r>
              <w:rPr>
                <w:b/>
                <w:color w:val="0F7865"/>
                <w:sz w:val="19"/>
              </w:rPr>
              <w:t xml:space="preserve">Prototype   </w:t>
            </w:r>
            <w:r>
              <w:rPr>
                <w:sz w:val="19"/>
              </w:rPr>
              <w:t>Data is stored as JSON files on disk and sign-in is a staff account picker rather than real authentication. Both are designed to be replaced before live use — see section 14.</w:t>
            </w:r>
          </w:p>
        </w:tc>
      </w:tr>
    </w:tbl>
    <w:p>
      <w:pPr>
        <w:spacing w:after="80"/>
      </w:pPr>
    </w:p>
    <w:p>
      <w:pPr>
        <w:pStyle w:val="Heading1"/>
      </w:pPr>
      <w:r>
        <w:t>2.  Why it works this way</w:t>
      </w:r>
    </w:p>
    <w:p>
      <w:r>
        <w:rPr>
          <w:b w:val="0"/>
          <w:i w:val="0"/>
        </w:rPr>
        <w:t>Property administration fails in predictable ways: a cheque is banked late, a renewal notice misses its deadline, rent is raised above the legal cap, or work is committed to a vendor without a written quote. These are process failures rather than software failures, so the system is built around three ideas.</w:t>
      </w:r>
    </w:p>
    <w:p>
      <w:pPr>
        <w:pStyle w:val="Heading3"/>
      </w:pPr>
      <w:r>
        <w:t>Procedures are guided, not documented</w:t>
      </w:r>
    </w:p>
    <w:p>
      <w:r>
        <w:rPr>
          <w:b w:val="0"/>
          <w:i w:val="0"/>
        </w:rPr>
        <w:t>Written procedures rely on staff remembering they exist. Here, each procedure is a wizard that will not let the employee continue until the current step is satisfied. A step cannot be skipped through ignorance of it.</w:t>
      </w:r>
    </w:p>
    <w:p>
      <w:pPr>
        <w:pStyle w:val="Heading3"/>
      </w:pPr>
      <w:r>
        <w:t>Rules are enforced in one place</w:t>
      </w:r>
    </w:p>
    <w:p>
      <w:r>
        <w:rPr>
          <w:b w:val="0"/>
          <w:i w:val="0"/>
        </w:rPr>
        <w:t>Each wizard's validation lives in a shared rules module imported by both the browser and the server action. What the employee sees on screen is exactly what the server enforces, so a tampered client cannot bypass a rule, and the two can never drift apart.</w:t>
      </w:r>
    </w:p>
    <w:p>
      <w:pPr>
        <w:pStyle w:val="Heading3"/>
      </w:pPr>
      <w:r>
        <w:t>Everything is recorded</w:t>
      </w:r>
    </w:p>
    <w:p>
      <w:r>
        <w:rPr>
          <w:b w:val="0"/>
          <w:i w:val="0"/>
        </w:rPr>
        <w:t>Every state change writes an audit entry naming the actor, the action, the record affected, the time, the originating IP address, and the field-level before and after values. The audit log is filterable and cannot be edited from the interface.</w:t>
      </w:r>
    </w:p>
    <w:p>
      <w:pPr>
        <w:pStyle w:val="Heading1"/>
      </w:pPr>
      <w:r>
        <w:t>3.  Getting started</w:t>
      </w:r>
    </w:p>
    <w:p>
      <w:pPr>
        <w:spacing w:before="80" w:after="200"/>
        <w:ind w:left="360"/>
      </w:pPr>
      <w:r>
        <w:rPr>
          <w:rFonts w:ascii="Consolas" w:hAnsi="Consolas"/>
          <w:color w:val="0D1524"/>
          <w:sz w:val="18"/>
        </w:rPr>
        <w:t>npm install</w:t>
        <w:br/>
      </w:r>
      <w:r>
        <w:rPr>
          <w:rFonts w:ascii="Consolas" w:hAnsi="Consolas"/>
          <w:color w:val="0D1524"/>
          <w:sz w:val="18"/>
        </w:rPr>
        <w:t>npm run dev</w:t>
      </w:r>
    </w:p>
    <w:p>
      <w:r>
        <w:rPr>
          <w:b w:val="0"/>
        </w:rPr>
        <w:t xml:space="preserve">Open </w:t>
      </w:r>
      <w:r>
        <w:rPr>
          <w:rFonts w:ascii="Consolas" w:hAnsi="Consolas"/>
          <w:b w:val="0"/>
          <w:color w:val="0F7865"/>
          <w:sz w:val="19"/>
        </w:rPr>
        <w:t>http://localhost:3000</w:t>
      </w:r>
      <w:r>
        <w:rPr>
          <w:b w:val="0"/>
        </w:rPr>
        <w:t>. Demo data seeds itself on first page load.</w:t>
      </w:r>
    </w:p>
    <w:p>
      <w:r>
        <w:rPr>
          <w:b w:val="0"/>
          <w:i w:val="0"/>
        </w:rPr>
        <w:t>Sign in by picking any staff account. Each has a different role, so the navigation and the available actions change with the account chosen. To see the permission model clearly, sign in as Accounts (which cannot create contracts) and then as Leasing (which cannot bank cheques), and compare what each can reach.</w:t>
      </w:r>
    </w:p>
    <w:p>
      <w:r>
        <w:rPr>
          <w:b w:val="0"/>
        </w:rPr>
        <w:t xml:space="preserve">To wipe and reseed the demo data, run </w:t>
      </w:r>
      <w:r>
        <w:rPr>
          <w:rFonts w:ascii="Consolas" w:hAnsi="Consolas"/>
          <w:b w:val="0"/>
          <w:color w:val="0F7865"/>
          <w:sz w:val="19"/>
        </w:rPr>
        <w:t>npm run reset-data</w:t>
      </w:r>
      <w:r>
        <w:rPr>
          <w:b w:val="0"/>
        </w:rPr>
        <w:t>.</w:t>
      </w:r>
    </w:p>
    <w:p>
      <w:pPr>
        <w:pStyle w:val="Heading1"/>
      </w:pPr>
      <w:r>
        <w:t>4.  Roles and permissions</w:t>
      </w:r>
    </w:p>
    <w:p>
      <w:r>
        <w:rPr>
          <w:b w:val="0"/>
          <w:i w:val="0"/>
        </w:rPr>
        <w:t>Six roles are checked against 22 named permissions. Permissions gate both the navigation and the pages themselves — a user who reaches a forbidden URL directly is redirected to a no-access screen rather than shown the content.</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0F7865"/>
          </w:tcPr>
          <w:p>
            <w:r/>
            <w:r>
              <w:rPr>
                <w:b/>
                <w:color w:val="FFFFFF"/>
                <w:sz w:val="19"/>
              </w:rPr>
              <w:t>Role</w:t>
            </w:r>
          </w:p>
        </w:tc>
        <w:tc>
          <w:tcPr>
            <w:tcW w:type="dxa" w:w="2160"/>
            <w:shd w:val="clear" w:fill="0F7865"/>
          </w:tcPr>
          <w:p>
            <w:r/>
            <w:r>
              <w:rPr>
                <w:b/>
                <w:color w:val="FFFFFF"/>
                <w:sz w:val="19"/>
              </w:rPr>
              <w:t>Label</w:t>
            </w:r>
          </w:p>
        </w:tc>
        <w:tc>
          <w:tcPr>
            <w:tcW w:type="dxa" w:w="5328"/>
            <w:shd w:val="clear" w:fill="0F7865"/>
          </w:tcPr>
          <w:p>
            <w:r/>
            <w:r>
              <w:rPr>
                <w:b/>
                <w:color w:val="FFFFFF"/>
                <w:sz w:val="19"/>
              </w:rPr>
              <w:t>What the role can do</w:t>
            </w:r>
          </w:p>
        </w:tc>
      </w:tr>
      <w:tr>
        <w:tc>
          <w:tcPr>
            <w:tcW w:type="dxa" w:w="1728"/>
          </w:tcPr>
          <w:p>
            <w:r/>
            <w:r>
              <w:rPr>
                <w:rFonts w:ascii="Consolas" w:hAnsi="Consolas"/>
                <w:color w:val="0F7865"/>
                <w:sz w:val="19"/>
              </w:rPr>
              <w:t>admin</w:t>
            </w:r>
          </w:p>
        </w:tc>
        <w:tc>
          <w:tcPr>
            <w:tcW w:type="dxa" w:w="2160"/>
          </w:tcPr>
          <w:p>
            <w:r/>
            <w:r>
              <w:rPr>
                <w:sz w:val="19"/>
              </w:rPr>
              <w:t>Administrator</w:t>
            </w:r>
          </w:p>
        </w:tc>
        <w:tc>
          <w:tcPr>
            <w:tcW w:type="dxa" w:w="5328"/>
          </w:tcPr>
          <w:p>
            <w:r/>
            <w:r>
              <w:rPr>
                <w:sz w:val="19"/>
              </w:rPr>
              <w:t>Everything, including user management</w:t>
            </w:r>
          </w:p>
        </w:tc>
      </w:tr>
      <w:tr>
        <w:tc>
          <w:tcPr>
            <w:tcW w:type="dxa" w:w="1728"/>
            <w:shd w:val="clear" w:fill="F1F4F8"/>
          </w:tcPr>
          <w:p>
            <w:r/>
            <w:r>
              <w:rPr>
                <w:rFonts w:ascii="Consolas" w:hAnsi="Consolas"/>
                <w:color w:val="0F7865"/>
                <w:sz w:val="19"/>
              </w:rPr>
              <w:t>manager</w:t>
            </w:r>
          </w:p>
        </w:tc>
        <w:tc>
          <w:tcPr>
            <w:tcW w:type="dxa" w:w="2160"/>
            <w:shd w:val="clear" w:fill="F1F4F8"/>
          </w:tcPr>
          <w:p>
            <w:r/>
            <w:r>
              <w:rPr>
                <w:sz w:val="19"/>
              </w:rPr>
              <w:t>Manager</w:t>
            </w:r>
          </w:p>
        </w:tc>
        <w:tc>
          <w:tcPr>
            <w:tcW w:type="dxa" w:w="5328"/>
            <w:shd w:val="clear" w:fill="F1F4F8"/>
          </w:tcPr>
          <w:p>
            <w:r/>
            <w:r>
              <w:rPr>
                <w:sz w:val="19"/>
              </w:rPr>
              <w:t>Everything except user management; the only role that decides approvals</w:t>
            </w:r>
          </w:p>
        </w:tc>
      </w:tr>
      <w:tr>
        <w:tc>
          <w:tcPr>
            <w:tcW w:type="dxa" w:w="1728"/>
          </w:tcPr>
          <w:p>
            <w:r/>
            <w:r>
              <w:rPr>
                <w:rFonts w:ascii="Consolas" w:hAnsi="Consolas"/>
                <w:color w:val="0F7865"/>
                <w:sz w:val="19"/>
              </w:rPr>
              <w:t>accountant</w:t>
            </w:r>
          </w:p>
        </w:tc>
        <w:tc>
          <w:tcPr>
            <w:tcW w:type="dxa" w:w="2160"/>
          </w:tcPr>
          <w:p>
            <w:r/>
            <w:r>
              <w:rPr>
                <w:sz w:val="19"/>
              </w:rPr>
              <w:t>Accounts</w:t>
            </w:r>
          </w:p>
        </w:tc>
        <w:tc>
          <w:tcPr>
            <w:tcW w:type="dxa" w:w="5328"/>
          </w:tcPr>
          <w:p>
            <w:r/>
            <w:r>
              <w:rPr>
                <w:sz w:val="19"/>
              </w:rPr>
              <w:t>Cheque banking and returns, payments, reports, audit — cannot create contracts</w:t>
            </w:r>
          </w:p>
        </w:tc>
      </w:tr>
      <w:tr>
        <w:tc>
          <w:tcPr>
            <w:tcW w:type="dxa" w:w="1728"/>
            <w:shd w:val="clear" w:fill="F1F4F8"/>
          </w:tcPr>
          <w:p>
            <w:r/>
            <w:r>
              <w:rPr>
                <w:rFonts w:ascii="Consolas" w:hAnsi="Consolas"/>
                <w:color w:val="0F7865"/>
                <w:sz w:val="19"/>
              </w:rPr>
              <w:t>leasing</w:t>
            </w:r>
          </w:p>
        </w:tc>
        <w:tc>
          <w:tcPr>
            <w:tcW w:type="dxa" w:w="2160"/>
            <w:shd w:val="clear" w:fill="F1F4F8"/>
          </w:tcPr>
          <w:p>
            <w:r/>
            <w:r>
              <w:rPr>
                <w:sz w:val="19"/>
              </w:rPr>
              <w:t>Leasing</w:t>
            </w:r>
          </w:p>
        </w:tc>
        <w:tc>
          <w:tcPr>
            <w:tcW w:type="dxa" w:w="5328"/>
            <w:shd w:val="clear" w:fill="F1F4F8"/>
          </w:tcPr>
          <w:p>
            <w:r/>
            <w:r>
              <w:rPr>
                <w:sz w:val="19"/>
              </w:rPr>
              <w:t>Contracts, renewals, tenants, maintenance — cannot bank cheques</w:t>
            </w:r>
          </w:p>
        </w:tc>
      </w:tr>
      <w:tr>
        <w:tc>
          <w:tcPr>
            <w:tcW w:type="dxa" w:w="1728"/>
          </w:tcPr>
          <w:p>
            <w:r/>
            <w:r>
              <w:rPr>
                <w:rFonts w:ascii="Consolas" w:hAnsi="Consolas"/>
                <w:color w:val="0F7865"/>
                <w:sz w:val="19"/>
              </w:rPr>
              <w:t>maintenance</w:t>
            </w:r>
          </w:p>
        </w:tc>
        <w:tc>
          <w:tcPr>
            <w:tcW w:type="dxa" w:w="2160"/>
          </w:tcPr>
          <w:p>
            <w:r/>
            <w:r>
              <w:rPr>
                <w:sz w:val="19"/>
              </w:rPr>
              <w:t>Maintenance</w:t>
            </w:r>
          </w:p>
        </w:tc>
        <w:tc>
          <w:tcPr>
            <w:tcW w:type="dxa" w:w="5328"/>
          </w:tcPr>
          <w:p>
            <w:r/>
            <w:r>
              <w:rPr>
                <w:sz w:val="19"/>
              </w:rPr>
              <w:t>Maintenance work orders and tasks only</w:t>
            </w:r>
          </w:p>
        </w:tc>
      </w:tr>
      <w:tr>
        <w:tc>
          <w:tcPr>
            <w:tcW w:type="dxa" w:w="1728"/>
            <w:shd w:val="clear" w:fill="F1F4F8"/>
          </w:tcPr>
          <w:p>
            <w:r/>
            <w:r>
              <w:rPr>
                <w:rFonts w:ascii="Consolas" w:hAnsi="Consolas"/>
                <w:color w:val="0F7865"/>
                <w:sz w:val="19"/>
              </w:rPr>
              <w:t>viewer</w:t>
            </w:r>
          </w:p>
        </w:tc>
        <w:tc>
          <w:tcPr>
            <w:tcW w:type="dxa" w:w="2160"/>
            <w:shd w:val="clear" w:fill="F1F4F8"/>
          </w:tcPr>
          <w:p>
            <w:r/>
            <w:r>
              <w:rPr>
                <w:sz w:val="19"/>
              </w:rPr>
              <w:t>Auditor (read only)</w:t>
            </w:r>
          </w:p>
        </w:tc>
        <w:tc>
          <w:tcPr>
            <w:tcW w:type="dxa" w:w="5328"/>
            <w:shd w:val="clear" w:fill="F1F4F8"/>
          </w:tcPr>
          <w:p>
            <w:r/>
            <w:r>
              <w:rPr>
                <w:sz w:val="19"/>
              </w:rPr>
              <w:t>Sees everything, changes nothing</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val="clear" w:fill="F1F4F8"/>
          </w:tcPr>
          <w:p>
            <w:r/>
            <w:r>
              <w:rPr>
                <w:b/>
                <w:color w:val="0F7865"/>
                <w:sz w:val="19"/>
              </w:rPr>
              <w:t xml:space="preserve">Separation of duties   </w:t>
            </w:r>
            <w:r>
              <w:rPr>
                <w:sz w:val="19"/>
              </w:rPr>
              <w:t>Two permissions are deliberately separated so no single non-manager role can both commit money and approve it: banking a cheque belongs to Accounts, while deciding approvals belongs to Manager alone.</w:t>
            </w:r>
          </w:p>
        </w:tc>
      </w:tr>
    </w:tbl>
    <w:p>
      <w:pPr>
        <w:spacing w:after="80"/>
      </w:pPr>
    </w:p>
    <w:p>
      <w:pPr>
        <w:pStyle w:val="Heading1"/>
      </w:pPr>
      <w:r>
        <w:t>5.  Features by module</w:t>
      </w:r>
    </w:p>
    <w:p>
      <w:pPr>
        <w:pStyle w:val="Heading3"/>
      </w:pPr>
      <w:r>
        <w:t>Dashboard</w:t>
      </w:r>
    </w:p>
    <w:p>
      <w:r>
        <w:rPr>
          <w:b w:val="0"/>
          <w:i w:val="0"/>
        </w:rPr>
        <w:t>Role-aware landing page. A red band surfaces critical alerts — money at risk — above everything else. Below it sit six KPI tiles (occupancy, annual rent roll, collected, outstanding, at risk, and expiring within 90 days), quick-launch actions filtered to the signed-in user's permissions, cheques due within 14 days, a 12-month collection forecast built from cheques already held in the safe, the user's open tasks, a portfolio occupancy breakdown, and recent activity.</w:t>
      </w:r>
    </w:p>
    <w:p>
      <w:pPr>
        <w:pStyle w:val="Heading3"/>
      </w:pPr>
      <w:r>
        <w:t>Properties and units</w:t>
      </w:r>
    </w:p>
    <w:p>
      <w:r>
        <w:rPr>
          <w:b w:val="0"/>
          <w:i w:val="0"/>
        </w:rPr>
        <w:t>Six buildings with per-property occupancy. Units carry floor, type (Studio, 1BR, 2BR, 3BR, Retail, Office), size in square feet, bathrooms, parking slots, market rent, and status (vacant, occupied, reserved, or under maintenance). Unit pages show the current tenancy and the full contract history for that unit.</w:t>
      </w:r>
    </w:p>
    <w:p>
      <w:pPr>
        <w:pStyle w:val="Heading3"/>
      </w:pPr>
      <w:r>
        <w:t>Tenants</w:t>
      </w:r>
    </w:p>
    <w:p>
      <w:r>
        <w:rPr>
          <w:b w:val="0"/>
          <w:i w:val="0"/>
        </w:rPr>
        <w:t>Individuals and companies, holding Emirates ID, passport number, nationality, UAE mobile, email, and trade licence for companies. Each tenant page gathers every contract, cheque and maintenance request associated with that tenant.</w:t>
      </w:r>
    </w:p>
    <w:p>
      <w:pPr>
        <w:pStyle w:val="Heading3"/>
      </w:pPr>
      <w:r>
        <w:t>Contracts</w:t>
      </w:r>
    </w:p>
    <w:p>
      <w:r>
        <w:rPr>
          <w:b w:val="0"/>
          <w:i w:val="0"/>
        </w:rPr>
        <w:t>Full tenancy records: reference, unit, tenant, term, annual rent, cheque count, security deposit, commission, Ejari registration number, a document checklist, and status. Created through the eight-step wizard. No contract becomes active without manager approval.</w:t>
      </w:r>
    </w:p>
    <w:p>
      <w:pPr>
        <w:pStyle w:val="Heading3"/>
      </w:pPr>
      <w:r>
        <w:t>Cheques</w:t>
      </w:r>
    </w:p>
    <w:p>
      <w:r>
        <w:rPr>
          <w:b w:val="0"/>
          <w:i w:val="0"/>
        </w:rPr>
        <w:t>The core of the system. Post-dated cheques are tracked individually from pending to deposited to cleared, or bounced and then replaced. Each cheque records its sequence within the schedule (for example, 3 of 4), number, bank, amount, due date, deposit slip reference, and who handled it. Cheques approaching or past their due date are flagged, and the system raises a task against a named employee for each one.</w:t>
      </w:r>
    </w:p>
    <w:p>
      <w:pPr>
        <w:pStyle w:val="Heading3"/>
      </w:pPr>
      <w:r>
        <w:t>Payments</w:t>
      </w:r>
    </w:p>
    <w:p>
      <w:r>
        <w:rPr>
          <w:b w:val="0"/>
          <w:i w:val="0"/>
        </w:rPr>
        <w:t>Receipts across rent, deposit, commission, fees and maintenance, recorded by method (cheque, cash, bank transfer or card) and filterable by category.</w:t>
      </w:r>
    </w:p>
    <w:p>
      <w:pPr>
        <w:pStyle w:val="Heading3"/>
      </w:pPr>
      <w:r>
        <w:t>Renewals</w:t>
      </w:r>
    </w:p>
    <w:p>
      <w:r>
        <w:rPr>
          <w:b w:val="0"/>
          <w:i w:val="0"/>
        </w:rPr>
        <w:t>Contracts within 90 days of expiry appear here. The renewal wizard handles both outcomes: renewing on new terms, or a non-renewal that requires notice to have been served.</w:t>
      </w:r>
    </w:p>
    <w:p>
      <w:pPr>
        <w:pStyle w:val="Heading3"/>
      </w:pPr>
      <w:r>
        <w:t>Maintenance</w:t>
      </w:r>
    </w:p>
    <w:p>
      <w:r>
        <w:rPr>
          <w:b w:val="0"/>
          <w:i w:val="0"/>
        </w:rPr>
        <w:t>Work orders with category, priority from low to emergency, an SLA due date derived from that priority, an assigned vendor or in-house team, quotation, and status from new through to closed. Spend at or above AED 1,000 requires manager approval before work is committed.</w:t>
      </w:r>
    </w:p>
    <w:p>
      <w:pPr>
        <w:pStyle w:val="Heading3"/>
      </w:pPr>
      <w:r>
        <w:t>Approvals</w:t>
      </w:r>
    </w:p>
    <w:p>
      <w:r>
        <w:rPr>
          <w:b w:val="0"/>
          <w:i w:val="0"/>
        </w:rPr>
        <w:t>A single queue of everything waiting on a manager, showing what is being asked, by whom, the amount at stake, and the surrounding context. Managers approve or reject with a written note.</w:t>
      </w:r>
    </w:p>
    <w:p>
      <w:pPr>
        <w:pStyle w:val="Heading3"/>
      </w:pPr>
      <w:r>
        <w:t>Tasks</w:t>
      </w:r>
    </w:p>
    <w:p>
      <w:r>
        <w:rPr>
          <w:b w:val="0"/>
          <w:i w:val="0"/>
        </w:rPr>
        <w:t>System-generated work assigned to named employees — cheques to bank, renewals to start, approvals to decide. Overdue items are escalated visually.</w:t>
      </w:r>
    </w:p>
    <w:p>
      <w:pPr>
        <w:pStyle w:val="Heading3"/>
      </w:pPr>
      <w:r>
        <w:t>Reports</w:t>
      </w:r>
    </w:p>
    <w:p>
      <w:r>
        <w:rPr>
          <w:b w:val="0"/>
          <w:i w:val="0"/>
        </w:rPr>
        <w:t>Portfolio and collection reporting: occupancy, rent roll, collection performance, arrears, and the expiry pipeline.</w:t>
      </w:r>
    </w:p>
    <w:p>
      <w:pPr>
        <w:pStyle w:val="Heading3"/>
      </w:pPr>
      <w:r>
        <w:t>Audit log</w:t>
      </w:r>
    </w:p>
    <w:p>
      <w:r>
        <w:rPr>
          <w:b w:val="0"/>
          <w:i w:val="0"/>
        </w:rPr>
        <w:t>Immutable and filterable by actor and entity type. Every entry records who acted, what they did, which record was affected, when, the originating IP, and the field-level changes.</w:t>
      </w:r>
    </w:p>
    <w:p>
      <w:pPr>
        <w:pStyle w:val="Heading1"/>
      </w:pPr>
      <w:r>
        <w:t>6.  The guided procedures</w:t>
      </w:r>
    </w:p>
    <w:p>
      <w:r>
        <w:rPr>
          <w:b w:val="0"/>
          <w:i w:val="0"/>
        </w:rPr>
        <w:t>Five wizards, all built on one shared engine.</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0F7865"/>
          </w:tcPr>
          <w:p>
            <w:r/>
            <w:r>
              <w:rPr>
                <w:b/>
                <w:color w:val="FFFFFF"/>
                <w:sz w:val="19"/>
              </w:rPr>
              <w:t>Procedure</w:t>
            </w:r>
          </w:p>
        </w:tc>
        <w:tc>
          <w:tcPr>
            <w:tcW w:type="dxa" w:w="1152"/>
            <w:shd w:val="clear" w:fill="0F7865"/>
          </w:tcPr>
          <w:p>
            <w:r/>
            <w:r>
              <w:rPr>
                <w:b/>
                <w:color w:val="FFFFFF"/>
                <w:sz w:val="19"/>
              </w:rPr>
              <w:t>Steps</w:t>
            </w:r>
          </w:p>
        </w:tc>
        <w:tc>
          <w:tcPr>
            <w:tcW w:type="dxa" w:w="4320"/>
            <w:shd w:val="clear" w:fill="0F7865"/>
          </w:tcPr>
          <w:p>
            <w:r/>
            <w:r>
              <w:rPr>
                <w:b/>
                <w:color w:val="FFFFFF"/>
                <w:sz w:val="19"/>
              </w:rPr>
              <w:t>Where</w:t>
            </w:r>
          </w:p>
        </w:tc>
      </w:tr>
      <w:tr>
        <w:tc>
          <w:tcPr>
            <w:tcW w:type="dxa" w:w="3744"/>
          </w:tcPr>
          <w:p>
            <w:r/>
            <w:r>
              <w:rPr>
                <w:sz w:val="19"/>
              </w:rPr>
              <w:t>New tenancy contract</w:t>
            </w:r>
          </w:p>
        </w:tc>
        <w:tc>
          <w:tcPr>
            <w:tcW w:type="dxa" w:w="1152"/>
          </w:tcPr>
          <w:p>
            <w:r/>
            <w:r>
              <w:rPr>
                <w:sz w:val="19"/>
              </w:rPr>
              <w:t>8</w:t>
            </w:r>
          </w:p>
        </w:tc>
        <w:tc>
          <w:tcPr>
            <w:tcW w:type="dxa" w:w="4320"/>
          </w:tcPr>
          <w:p>
            <w:r/>
            <w:r>
              <w:rPr>
                <w:rFonts w:ascii="Consolas" w:hAnsi="Consolas"/>
                <w:color w:val="0F7865"/>
                <w:sz w:val="19"/>
              </w:rPr>
              <w:t>/contracts/new</w:t>
            </w:r>
          </w:p>
        </w:tc>
      </w:tr>
      <w:tr>
        <w:tc>
          <w:tcPr>
            <w:tcW w:type="dxa" w:w="3744"/>
            <w:shd w:val="clear" w:fill="F1F4F8"/>
          </w:tcPr>
          <w:p>
            <w:r/>
            <w:r>
              <w:rPr>
                <w:sz w:val="19"/>
              </w:rPr>
              <w:t>Renewal or non-renewal</w:t>
            </w:r>
          </w:p>
        </w:tc>
        <w:tc>
          <w:tcPr>
            <w:tcW w:type="dxa" w:w="1152"/>
            <w:shd w:val="clear" w:fill="F1F4F8"/>
          </w:tcPr>
          <w:p>
            <w:r/>
            <w:r>
              <w:rPr>
                <w:sz w:val="19"/>
              </w:rPr>
              <w:t>6</w:t>
            </w:r>
          </w:p>
        </w:tc>
        <w:tc>
          <w:tcPr>
            <w:tcW w:type="dxa" w:w="4320"/>
            <w:shd w:val="clear" w:fill="F1F4F8"/>
          </w:tcPr>
          <w:p>
            <w:r/>
            <w:r>
              <w:rPr>
                <w:rFonts w:ascii="Consolas" w:hAnsi="Consolas"/>
                <w:color w:val="0F7865"/>
                <w:sz w:val="19"/>
              </w:rPr>
              <w:t>/renewals/[id]</w:t>
            </w:r>
          </w:p>
        </w:tc>
      </w:tr>
      <w:tr>
        <w:tc>
          <w:tcPr>
            <w:tcW w:type="dxa" w:w="3744"/>
          </w:tcPr>
          <w:p>
            <w:r/>
            <w:r>
              <w:rPr>
                <w:sz w:val="19"/>
              </w:rPr>
              <w:t>Maintenance intake</w:t>
            </w:r>
          </w:p>
        </w:tc>
        <w:tc>
          <w:tcPr>
            <w:tcW w:type="dxa" w:w="1152"/>
          </w:tcPr>
          <w:p>
            <w:r/>
            <w:r>
              <w:rPr>
                <w:sz w:val="19"/>
              </w:rPr>
              <w:t>5</w:t>
            </w:r>
          </w:p>
        </w:tc>
        <w:tc>
          <w:tcPr>
            <w:tcW w:type="dxa" w:w="4320"/>
          </w:tcPr>
          <w:p>
            <w:r/>
            <w:r>
              <w:rPr>
                <w:rFonts w:ascii="Consolas" w:hAnsi="Consolas"/>
                <w:color w:val="0F7865"/>
                <w:sz w:val="19"/>
              </w:rPr>
              <w:t>/maintenance/new</w:t>
            </w:r>
          </w:p>
        </w:tc>
      </w:tr>
      <w:tr>
        <w:tc>
          <w:tcPr>
            <w:tcW w:type="dxa" w:w="3744"/>
            <w:shd w:val="clear" w:fill="F1F4F8"/>
          </w:tcPr>
          <w:p>
            <w:r/>
            <w:r>
              <w:rPr>
                <w:sz w:val="19"/>
              </w:rPr>
              <w:t>Bank a cheque</w:t>
            </w:r>
          </w:p>
        </w:tc>
        <w:tc>
          <w:tcPr>
            <w:tcW w:type="dxa" w:w="1152"/>
            <w:shd w:val="clear" w:fill="F1F4F8"/>
          </w:tcPr>
          <w:p>
            <w:r/>
            <w:r>
              <w:rPr>
                <w:sz w:val="19"/>
              </w:rPr>
              <w:t>4</w:t>
            </w:r>
          </w:p>
        </w:tc>
        <w:tc>
          <w:tcPr>
            <w:tcW w:type="dxa" w:w="4320"/>
            <w:shd w:val="clear" w:fill="F1F4F8"/>
          </w:tcPr>
          <w:p>
            <w:r/>
            <w:r>
              <w:rPr>
                <w:rFonts w:ascii="Consolas" w:hAnsi="Consolas"/>
                <w:color w:val="0F7865"/>
                <w:sz w:val="19"/>
              </w:rPr>
              <w:t>/cheques/[id]/deposit</w:t>
            </w:r>
          </w:p>
        </w:tc>
      </w:tr>
      <w:tr>
        <w:tc>
          <w:tcPr>
            <w:tcW w:type="dxa" w:w="3744"/>
          </w:tcPr>
          <w:p>
            <w:r/>
            <w:r>
              <w:rPr>
                <w:sz w:val="19"/>
              </w:rPr>
              <w:t>Record a returned cheque</w:t>
            </w:r>
          </w:p>
        </w:tc>
        <w:tc>
          <w:tcPr>
            <w:tcW w:type="dxa" w:w="1152"/>
          </w:tcPr>
          <w:p>
            <w:r/>
            <w:r>
              <w:rPr>
                <w:sz w:val="19"/>
              </w:rPr>
              <w:t>4</w:t>
            </w:r>
          </w:p>
        </w:tc>
        <w:tc>
          <w:tcPr>
            <w:tcW w:type="dxa" w:w="4320"/>
          </w:tcPr>
          <w:p>
            <w:r/>
            <w:r>
              <w:rPr>
                <w:rFonts w:ascii="Consolas" w:hAnsi="Consolas"/>
                <w:color w:val="0F7865"/>
                <w:sz w:val="19"/>
              </w:rPr>
              <w:t>/cheques/[id]/bounce</w:t>
            </w:r>
          </w:p>
        </w:tc>
      </w:tr>
    </w:tbl>
    <w:p>
      <w:pPr>
        <w:spacing w:after="80"/>
      </w:pPr>
    </w:p>
    <w:p>
      <w:pPr>
        <w:pStyle w:val="Heading3"/>
      </w:pPr>
      <w:r>
        <w:t>Behaviour shared by all five</w:t>
      </w:r>
    </w:p>
    <w:p>
      <w:pPr>
        <w:pStyle w:val="ListBullet"/>
      </w:pPr>
      <w:r>
        <w:rPr>
          <w:b/>
        </w:rPr>
        <w:t xml:space="preserve">Steps unlock in order. </w:t>
      </w:r>
      <w:r>
        <w:t>A later step is reachable only once every earlier step is valid.</w:t>
      </w:r>
    </w:p>
    <w:p>
      <w:pPr>
        <w:pStyle w:val="ListBullet"/>
      </w:pPr>
      <w:r>
        <w:rPr>
          <w:b/>
        </w:rPr>
        <w:t xml:space="preserve">A live requirement panel. </w:t>
      </w:r>
      <w:r>
        <w:t>The current step always lists exactly what is still outstanding, turning from amber to red once the employee has attempted to continue.</w:t>
      </w:r>
    </w:p>
    <w:p>
      <w:pPr>
        <w:pStyle w:val="ListBullet"/>
      </w:pPr>
      <w:r>
        <w:rPr>
          <w:b/>
        </w:rPr>
        <w:t xml:space="preserve">Typed confirmation. </w:t>
      </w:r>
      <w:r>
        <w:t>Every wizard ends by requiring the employee to type a specific identifier — the cheque number, the unit number, or the contract reference — to prove the right record is being acted on.</w:t>
      </w:r>
    </w:p>
    <w:p>
      <w:pPr>
        <w:pStyle w:val="ListBullet"/>
      </w:pPr>
      <w:r>
        <w:rPr>
          <w:b/>
        </w:rPr>
        <w:t xml:space="preserve">Explicit progress. </w:t>
      </w:r>
      <w:r>
        <w:t>Shown both as a bar and as a step rail marking which steps are complete, current and locked.</w:t>
      </w:r>
    </w:p>
    <w:p>
      <w:pPr>
        <w:pStyle w:val="Heading1"/>
      </w:pPr>
      <w:r>
        <w:t>7.  Business rules enforced</w:t>
      </w:r>
    </w:p>
    <w:p>
      <w:r>
        <w:rPr>
          <w:b w:val="0"/>
          <w:i w:val="0"/>
        </w:rPr>
        <w:t>These rules are shared between the browser and the server, so they cannot be bypassed by manipulating the page.</w:t>
      </w:r>
    </w:p>
    <w:p>
      <w:pPr>
        <w:pStyle w:val="Heading3"/>
      </w:pPr>
      <w:r>
        <w:t>New contract</w:t>
      </w:r>
    </w:p>
    <w:p>
      <w:pPr>
        <w:pStyle w:val="ListBullet"/>
      </w:pPr>
      <w:r>
        <w:t>Emirates ID must match the format 784-YYYY-NNNNNNN-N.</w:t>
      </w:r>
    </w:p>
    <w:p>
      <w:pPr>
        <w:pStyle w:val="ListBullet"/>
      </w:pPr>
      <w:r>
        <w:t>Mobile number must be a UAE number beginning +9715.</w:t>
      </w:r>
    </w:p>
    <w:p>
      <w:pPr>
        <w:pStyle w:val="ListBullet"/>
      </w:pPr>
      <w:r>
        <w:t>Cheque numbers must be 4 to 9 digits; two cheques cannot share a number at the same bank.</w:t>
      </w:r>
    </w:p>
    <w:p>
      <w:pPr>
        <w:pStyle w:val="ListBullet"/>
      </w:pPr>
      <w:r>
        <w:t>The start date cannot be more than 30 days in the past.</w:t>
      </w:r>
    </w:p>
    <w:p>
      <w:pPr>
        <w:pStyle w:val="ListBullet"/>
      </w:pPr>
      <w:r>
        <w:t>The unit must still be vacant at submission — a unit taken in the meantime blocks the contract.</w:t>
      </w:r>
    </w:p>
    <w:p>
      <w:pPr>
        <w:pStyle w:val="ListBullet"/>
      </w:pPr>
      <w:r>
        <w:t>The cheque schedule total must reconcile to the annual rent.</w:t>
      </w:r>
    </w:p>
    <w:p>
      <w:pPr>
        <w:pStyle w:val="ListBullet"/>
      </w:pPr>
      <w:r>
        <w:t>Companies must supply a trade licence number.</w:t>
      </w:r>
    </w:p>
    <w:p>
      <w:pPr>
        <w:pStyle w:val="Heading3"/>
      </w:pPr>
      <w:r>
        <w:t>Banking a cheque</w:t>
      </w:r>
    </w:p>
    <w:p>
      <w:pPr>
        <w:pStyle w:val="ListBullet"/>
      </w:pPr>
      <w:r>
        <w:t>The physical cheque must be confirmed retrieved from the safe, matched on number, bank and amount, and matched on date.</w:t>
      </w:r>
    </w:p>
    <w:p>
      <w:pPr>
        <w:pStyle w:val="ListBullet"/>
      </w:pPr>
      <w:r>
        <w:t>The deposit date cannot be in the future.</w:t>
      </w:r>
    </w:p>
    <w:p>
      <w:pPr>
        <w:pStyle w:val="ListBullet"/>
      </w:pPr>
      <w:r>
        <w:t>A deposit back-dated more than 14 days is refused and escalated to a manager.</w:t>
      </w:r>
    </w:p>
    <w:p>
      <w:pPr>
        <w:pStyle w:val="ListBullet"/>
      </w:pPr>
      <w:r>
        <w:t>The cheque number must be typed back exactly before the deposit is recorded.</w:t>
      </w:r>
    </w:p>
    <w:p>
      <w:pPr>
        <w:pStyle w:val="Heading3"/>
      </w:pPr>
      <w:r>
        <w:t>Returned cheque</w:t>
      </w:r>
    </w:p>
    <w:p>
      <w:pPr>
        <w:pStyle w:val="ListBullet"/>
      </w:pPr>
      <w:r>
        <w:t>The bank return date, the reason given, and the bank memo reference are all required.</w:t>
      </w:r>
    </w:p>
    <w:p>
      <w:pPr>
        <w:pStyle w:val="ListBullet"/>
      </w:pPr>
      <w:r>
        <w:t>Bank charges cannot be negative.</w:t>
      </w:r>
    </w:p>
    <w:p>
      <w:pPr>
        <w:pStyle w:val="ListBullet"/>
      </w:pPr>
      <w:r>
        <w:t>The tenant must be confirmed informed, with the method recorded, before the return can be saved.</w:t>
      </w:r>
    </w:p>
    <w:p>
      <w:pPr>
        <w:pStyle w:val="ListBullet"/>
      </w:pPr>
      <w:r>
        <w:t>A deadline for the replacement cheque must be set.</w:t>
      </w:r>
    </w:p>
    <w:p>
      <w:pPr>
        <w:pStyle w:val="Heading3"/>
      </w:pPr>
      <w:r>
        <w:t>Renewal</w:t>
      </w:r>
    </w:p>
    <w:p>
      <w:pPr>
        <w:pStyle w:val="ListBullet"/>
      </w:pPr>
      <w:r>
        <w:t>Payment history and open maintenance on the unit must both be reviewed first.</w:t>
      </w:r>
    </w:p>
    <w:p>
      <w:pPr>
        <w:pStyle w:val="ListBullet"/>
      </w:pPr>
      <w:r>
        <w:t>Rent increases are capped at 5%. Anything above requires a written justification of at least 15 characters.</w:t>
      </w:r>
    </w:p>
    <w:p>
      <w:pPr>
        <w:pStyle w:val="ListBullet"/>
      </w:pPr>
      <w:r>
        <w:t>A non-renewal requires confirmation that 90-day notice was served to the tenant in writing.</w:t>
      </w:r>
    </w:p>
    <w:p>
      <w:pPr>
        <w:pStyle w:val="ListBullet"/>
      </w:pPr>
      <w:r>
        <w:t>Contracts that expired more than 30 days ago are escalated to a manager.</w:t>
      </w:r>
    </w:p>
    <w:p>
      <w:pPr>
        <w:pStyle w:val="Heading3"/>
      </w:pPr>
      <w:r>
        <w:t>Maintenance</w:t>
      </w:r>
    </w:p>
    <w:p>
      <w:pPr>
        <w:pStyle w:val="ListBullet"/>
      </w:pPr>
      <w:r>
        <w:t>The description must be at least 20 characters, because the vendor works from that text.</w:t>
      </w:r>
    </w:p>
    <w:p>
      <w:pPr>
        <w:pStyle w:val="ListBullet"/>
      </w:pPr>
      <w:r>
        <w:t>An access arrangement is mandatory, and emergencies require the safety risk to be described.</w:t>
      </w:r>
    </w:p>
    <w:p>
      <w:pPr>
        <w:pStyle w:val="ListBullet"/>
      </w:pPr>
      <w:r>
        <w:t>Estimated spend of AED 1,000 or more requires an attached written quotation.</w:t>
      </w:r>
    </w:p>
    <w:p>
      <w:pPr>
        <w:pStyle w:val="ListBullet"/>
      </w:pPr>
      <w:r>
        <w:t>The unit number must be typed back to confirm the right unit.</w:t>
      </w:r>
    </w:p>
    <w:p>
      <w:pPr>
        <w:pStyle w:val="Heading1"/>
      </w:pPr>
      <w:r>
        <w:t>8.  Approvals</w:t>
      </w:r>
    </w:p>
    <w:p>
      <w:r>
        <w:rPr>
          <w:b w:val="0"/>
          <w:i w:val="0"/>
        </w:rPr>
        <w:t>Eight action types can never take effect on one person's authority.</w:t>
      </w:r>
    </w:p>
    <w:tbl>
      <w:tblPr>
        <w:tblStyle w:val="TableGrid"/>
        <w:tblW w:type="auto" w:w="0"/>
        <w:jc w:val="center"/>
        <w:tblLook w:firstColumn="1" w:firstRow="1" w:lastColumn="0" w:lastRow="0" w:noHBand="0" w:noVBand="1" w:val="04A0"/>
      </w:tblPr>
      <w:tblGrid>
        <w:gridCol w:w="4320"/>
        <w:gridCol w:w="4320"/>
      </w:tblGrid>
      <w:tr>
        <w:tc>
          <w:tcPr>
            <w:tcW w:type="dxa" w:w="2736"/>
            <w:shd w:val="clear" w:fill="0F7865"/>
          </w:tcPr>
          <w:p>
            <w:r/>
            <w:r>
              <w:rPr>
                <w:b/>
                <w:color w:val="FFFFFF"/>
                <w:sz w:val="19"/>
              </w:rPr>
              <w:t>Action</w:t>
            </w:r>
          </w:p>
        </w:tc>
        <w:tc>
          <w:tcPr>
            <w:tcW w:type="dxa" w:w="6480"/>
            <w:shd w:val="clear" w:fill="0F7865"/>
          </w:tcPr>
          <w:p>
            <w:r/>
            <w:r>
              <w:rPr>
                <w:b/>
                <w:color w:val="FFFFFF"/>
                <w:sz w:val="19"/>
              </w:rPr>
              <w:t>Rule</w:t>
            </w:r>
          </w:p>
        </w:tc>
      </w:tr>
      <w:tr>
        <w:tc>
          <w:tcPr>
            <w:tcW w:type="dxa" w:w="2736"/>
          </w:tcPr>
          <w:p>
            <w:r/>
            <w:r>
              <w:rPr>
                <w:sz w:val="19"/>
              </w:rPr>
              <w:t>New contract</w:t>
            </w:r>
          </w:p>
        </w:tc>
        <w:tc>
          <w:tcPr>
            <w:tcW w:type="dxa" w:w="6480"/>
          </w:tcPr>
          <w:p>
            <w:r/>
            <w:r>
              <w:rPr>
                <w:sz w:val="19"/>
              </w:rPr>
              <w:t>New tenancies must be approved by a manager before activation</w:t>
            </w:r>
          </w:p>
        </w:tc>
      </w:tr>
      <w:tr>
        <w:tc>
          <w:tcPr>
            <w:tcW w:type="dxa" w:w="2736"/>
            <w:shd w:val="clear" w:fill="F1F4F8"/>
          </w:tcPr>
          <w:p>
            <w:r/>
            <w:r>
              <w:rPr>
                <w:sz w:val="19"/>
              </w:rPr>
              <w:t>Renewal</w:t>
            </w:r>
          </w:p>
        </w:tc>
        <w:tc>
          <w:tcPr>
            <w:tcW w:type="dxa" w:w="6480"/>
            <w:shd w:val="clear" w:fill="F1F4F8"/>
          </w:tcPr>
          <w:p>
            <w:r/>
            <w:r>
              <w:rPr>
                <w:sz w:val="19"/>
              </w:rPr>
              <w:t>Renewals must be approved before the new term starts</w:t>
            </w:r>
          </w:p>
        </w:tc>
      </w:tr>
      <w:tr>
        <w:tc>
          <w:tcPr>
            <w:tcW w:type="dxa" w:w="2736"/>
          </w:tcPr>
          <w:p>
            <w:r/>
            <w:r>
              <w:rPr>
                <w:sz w:val="19"/>
              </w:rPr>
              <w:t>Rent change</w:t>
            </w:r>
          </w:p>
        </w:tc>
        <w:tc>
          <w:tcPr>
            <w:tcW w:type="dxa" w:w="6480"/>
          </w:tcPr>
          <w:p>
            <w:r/>
            <w:r>
              <w:rPr>
                <w:sz w:val="19"/>
              </w:rPr>
              <w:t>Any change to agreed rent requires manager approval</w:t>
            </w:r>
          </w:p>
        </w:tc>
      </w:tr>
      <w:tr>
        <w:tc>
          <w:tcPr>
            <w:tcW w:type="dxa" w:w="2736"/>
            <w:shd w:val="clear" w:fill="F1F4F8"/>
          </w:tcPr>
          <w:p>
            <w:r/>
            <w:r>
              <w:rPr>
                <w:sz w:val="19"/>
              </w:rPr>
              <w:t>Contract termination</w:t>
            </w:r>
          </w:p>
        </w:tc>
        <w:tc>
          <w:tcPr>
            <w:tcW w:type="dxa" w:w="6480"/>
            <w:shd w:val="clear" w:fill="F1F4F8"/>
          </w:tcPr>
          <w:p>
            <w:r/>
            <w:r>
              <w:rPr>
                <w:sz w:val="19"/>
              </w:rPr>
              <w:t>Early termination requires manager approval</w:t>
            </w:r>
          </w:p>
        </w:tc>
      </w:tr>
      <w:tr>
        <w:tc>
          <w:tcPr>
            <w:tcW w:type="dxa" w:w="2736"/>
          </w:tcPr>
          <w:p>
            <w:r/>
            <w:r>
              <w:rPr>
                <w:sz w:val="19"/>
              </w:rPr>
              <w:t>Cheque hold</w:t>
            </w:r>
          </w:p>
        </w:tc>
        <w:tc>
          <w:tcPr>
            <w:tcW w:type="dxa" w:w="6480"/>
          </w:tcPr>
          <w:p>
            <w:r/>
            <w:r>
              <w:rPr>
                <w:sz w:val="19"/>
              </w:rPr>
              <w:t>Holding a cheque past its due date requires manager approval</w:t>
            </w:r>
          </w:p>
        </w:tc>
      </w:tr>
      <w:tr>
        <w:tc>
          <w:tcPr>
            <w:tcW w:type="dxa" w:w="2736"/>
            <w:shd w:val="clear" w:fill="F1F4F8"/>
          </w:tcPr>
          <w:p>
            <w:r/>
            <w:r>
              <w:rPr>
                <w:sz w:val="19"/>
              </w:rPr>
              <w:t>Cheque replacement</w:t>
            </w:r>
          </w:p>
        </w:tc>
        <w:tc>
          <w:tcPr>
            <w:tcW w:type="dxa" w:w="6480"/>
            <w:shd w:val="clear" w:fill="F1F4F8"/>
          </w:tcPr>
          <w:p>
            <w:r/>
            <w:r>
              <w:rPr>
                <w:sz w:val="19"/>
              </w:rPr>
              <w:t>Replacing a bounced or cancelled cheque requires manager approval</w:t>
            </w:r>
          </w:p>
        </w:tc>
      </w:tr>
      <w:tr>
        <w:tc>
          <w:tcPr>
            <w:tcW w:type="dxa" w:w="2736"/>
          </w:tcPr>
          <w:p>
            <w:r/>
            <w:r>
              <w:rPr>
                <w:sz w:val="19"/>
              </w:rPr>
              <w:t>Maintenance spend</w:t>
            </w:r>
          </w:p>
        </w:tc>
        <w:tc>
          <w:tcPr>
            <w:tcW w:type="dxa" w:w="6480"/>
          </w:tcPr>
          <w:p>
            <w:r/>
            <w:r>
              <w:rPr>
                <w:sz w:val="19"/>
              </w:rPr>
              <w:t>Maintenance spend above AED 1,000 requires manager approval</w:t>
            </w:r>
          </w:p>
        </w:tc>
      </w:tr>
      <w:tr>
        <w:tc>
          <w:tcPr>
            <w:tcW w:type="dxa" w:w="2736"/>
            <w:shd w:val="clear" w:fill="F1F4F8"/>
          </w:tcPr>
          <w:p>
            <w:r/>
            <w:r>
              <w:rPr>
                <w:sz w:val="19"/>
              </w:rPr>
              <w:t>Refund</w:t>
            </w:r>
          </w:p>
        </w:tc>
        <w:tc>
          <w:tcPr>
            <w:tcW w:type="dxa" w:w="6480"/>
            <w:shd w:val="clear" w:fill="F1F4F8"/>
          </w:tcPr>
          <w:p>
            <w:r/>
            <w:r>
              <w:rPr>
                <w:sz w:val="19"/>
              </w:rPr>
              <w:t>Deposit refunds require manager approval</w:t>
            </w:r>
          </w:p>
        </w:tc>
      </w:tr>
    </w:tbl>
    <w:p>
      <w:pPr>
        <w:spacing w:after="80"/>
      </w:pPr>
    </w:p>
    <w:p>
      <w:pPr>
        <w:pStyle w:val="Heading1"/>
      </w:pPr>
      <w:r>
        <w:t>9.  Design system</w:t>
      </w:r>
    </w:p>
    <w:p>
      <w:r>
        <w:rPr>
          <w:b w:val="0"/>
          <w:i w:val="0"/>
        </w:rPr>
        <w:t>The interface is driven entirely by semantic design tokens defined in one stylesheet. Runtime variables are declared per theme and mapped onto utility class names, so utilities such as background, foreground and border colours all re-point themselves when the theme attribute changes on the page root. Colour decisions therefore live in a single file rather than being spread across forty pages.</w:t>
      </w:r>
    </w:p>
    <w:p>
      <w:pPr>
        <w:pStyle w:val="Heading3"/>
      </w:pPr>
      <w:r>
        <w:t>Light and dark themes</w:t>
      </w:r>
    </w:p>
    <w:p>
      <w:r>
        <w:rPr>
          <w:b w:val="0"/>
          <w:i w:val="0"/>
        </w:rPr>
        <w:t>The theme is applied by an inline script while the HTML is still being parsed — before the first paint — so there is no flash of the wrong theme on load. The system follows the operating system preference on a first visit and remembers the user's own choice thereafter.</w:t>
      </w:r>
    </w:p>
    <w:p>
      <w:pPr>
        <w:pStyle w:val="Heading3"/>
      </w:pPr>
      <w:r>
        <w:t>Two ramps kept deliberately separate</w:t>
      </w:r>
    </w:p>
    <w:p>
      <w:r>
        <w:rPr>
          <w:b w:val="0"/>
          <w:i w:val="0"/>
        </w:rPr>
        <w:t>Some colours cannot serve two purposes at once, and collapsing them causes real failures:</w:t>
      </w:r>
    </w:p>
    <w:p>
      <w:pPr>
        <w:pStyle w:val="ListBullet"/>
      </w:pPr>
      <w:r>
        <w:rPr>
          <w:b/>
        </w:rPr>
        <w:t xml:space="preserve">Dark chrome versus text. </w:t>
      </w:r>
      <w:r>
        <w:t>The sidebar, gate screen and selected filter chips use a fixed dark ramp that never inverts, while body text uses a separate foreground ramp that does.</w:t>
      </w:r>
    </w:p>
    <w:p>
      <w:pPr>
        <w:pStyle w:val="ListBullet"/>
      </w:pPr>
      <w:r>
        <w:rPr>
          <w:b/>
        </w:rPr>
        <w:t xml:space="preserve">Solid fills versus coloured text. </w:t>
      </w:r>
      <w:r>
        <w:t>A fill dark enough to carry white text can never also be light enough to read as text on a dark surface, so filled buttons and brand-coloured text use different tokens.</w:t>
      </w:r>
    </w:p>
    <w:p>
      <w:pPr>
        <w:pStyle w:val="Heading3"/>
      </w:pPr>
      <w:r>
        <w:t>Accessibility</w:t>
      </w:r>
    </w:p>
    <w:p>
      <w:r>
        <w:rPr>
          <w:b w:val="0"/>
          <w:i w:val="0"/>
        </w:rPr>
        <w:t>All 42 foreground and background token pairs meet the WCAG AA contrast standard in both themes. A single global focus rule gives keyboard users a consistent, visible ring without showing it to mouse users, and the reduced-motion system preference is honoured.</w:t>
      </w:r>
    </w:p>
    <w:tbl>
      <w:tblPr>
        <w:tblStyle w:val="TableGrid"/>
        <w:tblW w:type="auto" w:w="0"/>
        <w:tblLook w:firstColumn="1" w:firstRow="1" w:lastColumn="0" w:lastRow="0" w:noHBand="0" w:noVBand="1" w:val="04A0"/>
      </w:tblPr>
      <w:tblGrid>
        <w:gridCol w:w="8640"/>
      </w:tblGrid>
      <w:tr>
        <w:tc>
          <w:tcPr>
            <w:tcW w:type="dxa" w:w="8640"/>
            <w:shd w:val="clear" w:fill="F1F4F8"/>
          </w:tcPr>
          <w:p>
            <w:r/>
            <w:r>
              <w:rPr>
                <w:b/>
                <w:color w:val="0F7865"/>
                <w:sz w:val="19"/>
              </w:rPr>
              <w:t xml:space="preserve">For developers   </w:t>
            </w:r>
            <w:r>
              <w:rPr>
                <w:sz w:val="19"/>
              </w:rPr>
              <w:t>When adding pages, use the semantic tokens only. A raw colour utility looks correct in light mode but silently breaks dark mode, and neither the build nor the linter will catch it.</w:t>
            </w:r>
          </w:p>
        </w:tc>
      </w:tr>
    </w:tbl>
    <w:p>
      <w:pPr>
        <w:spacing w:after="80"/>
      </w:pPr>
    </w:p>
    <w:p>
      <w:pPr>
        <w:pStyle w:val="Heading1"/>
      </w:pPr>
      <w:r>
        <w:t>10.  Architecture</w:t>
      </w:r>
    </w:p>
    <w:p>
      <w:r>
        <w:rPr>
          <w:b w:val="0"/>
          <w:i w:val="0"/>
        </w:rPr>
        <w:t>Next.js 16 App Router, React 19, TypeScript, and Tailwind CSS v4.</w:t>
      </w:r>
    </w:p>
    <w:p>
      <w:pPr>
        <w:spacing w:before="80" w:after="200"/>
        <w:ind w:left="360"/>
      </w:pPr>
      <w:r>
        <w:rPr>
          <w:rFonts w:ascii="Consolas" w:hAnsi="Consolas"/>
          <w:color w:val="0D1524"/>
          <w:sz w:val="18"/>
        </w:rPr>
        <w:t>src/</w:t>
        <w:br/>
      </w:r>
      <w:r>
        <w:rPr>
          <w:rFonts w:ascii="Consolas" w:hAnsi="Consolas"/>
          <w:color w:val="0D1524"/>
          <w:sz w:val="18"/>
        </w:rPr>
        <w:t xml:space="preserve">  app/</w:t>
        <w:br/>
      </w:r>
      <w:r>
        <w:rPr>
          <w:rFonts w:ascii="Consolas" w:hAnsi="Consolas"/>
          <w:color w:val="0D1524"/>
          <w:sz w:val="18"/>
        </w:rPr>
        <w:t xml:space="preserve">    (app)/          authenticated application, wrapped by the Shell layout</w:t>
        <w:br/>
      </w:r>
      <w:r>
        <w:rPr>
          <w:rFonts w:ascii="Consolas" w:hAnsi="Consolas"/>
          <w:color w:val="0D1524"/>
          <w:sz w:val="18"/>
        </w:rPr>
        <w:t xml:space="preserve">    login/          staff account picker</w:t>
        <w:br/>
      </w:r>
      <w:r>
        <w:rPr>
          <w:rFonts w:ascii="Consolas" w:hAnsi="Consolas"/>
          <w:color w:val="0D1524"/>
          <w:sz w:val="18"/>
        </w:rPr>
        <w:t xml:space="preserve">    gate/           site-wide password screen</w:t>
        <w:br/>
      </w:r>
      <w:r>
        <w:rPr>
          <w:rFonts w:ascii="Consolas" w:hAnsi="Consolas"/>
          <w:color w:val="0D1524"/>
          <w:sz w:val="18"/>
        </w:rPr>
        <w:t xml:space="preserve">    healthz/        health probe for the host</w:t>
        <w:br/>
      </w:r>
      <w:r>
        <w:rPr>
          <w:rFonts w:ascii="Consolas" w:hAnsi="Consolas"/>
          <w:color w:val="0D1524"/>
          <w:sz w:val="18"/>
        </w:rPr>
        <w:t xml:space="preserve">    globals.css     design tokens — the single source of colour truth</w:t>
        <w:br/>
      </w:r>
      <w:r>
        <w:rPr>
          <w:rFonts w:ascii="Consolas" w:hAnsi="Consolas"/>
          <w:color w:val="0D1524"/>
          <w:sz w:val="18"/>
        </w:rPr>
        <w:t xml:space="preserve">  components/</w:t>
        <w:br/>
      </w:r>
      <w:r>
        <w:rPr>
          <w:rFonts w:ascii="Consolas" w:hAnsi="Consolas"/>
          <w:color w:val="0D1524"/>
          <w:sz w:val="18"/>
        </w:rPr>
        <w:t xml:space="preserve">    Shell.tsx       sidebar, header, breadcrumbs, theme toggle</w:t>
        <w:br/>
      </w:r>
      <w:r>
        <w:rPr>
          <w:rFonts w:ascii="Consolas" w:hAnsi="Consolas"/>
          <w:color w:val="0D1524"/>
          <w:sz w:val="18"/>
        </w:rPr>
        <w:t xml:space="preserve">    Wizard.tsx      the shared guided-procedure engine</w:t>
        <w:br/>
      </w:r>
      <w:r>
        <w:rPr>
          <w:rFonts w:ascii="Consolas" w:hAnsi="Consolas"/>
          <w:color w:val="0D1524"/>
          <w:sz w:val="18"/>
        </w:rPr>
        <w:t xml:space="preserve">    ui.tsx          Card, Badge, Button, Stat, Table, Empty, Bar</w:t>
        <w:br/>
      </w:r>
      <w:r>
        <w:rPr>
          <w:rFonts w:ascii="Consolas" w:hAnsi="Consolas"/>
          <w:color w:val="0D1524"/>
          <w:sz w:val="18"/>
        </w:rPr>
        <w:t xml:space="preserve">    form.tsx        Field, Input, Select, CheckItem, RadioCards, Note</w:t>
        <w:br/>
      </w:r>
      <w:r>
        <w:rPr>
          <w:rFonts w:ascii="Consolas" w:hAnsi="Consolas"/>
          <w:color w:val="0D1524"/>
          <w:sz w:val="18"/>
        </w:rPr>
        <w:t xml:space="preserve">    ThemeToggle.tsx light/dark switch and the pre-paint theme script</w:t>
        <w:br/>
      </w:r>
      <w:r>
        <w:rPr>
          <w:rFonts w:ascii="Consolas" w:hAnsi="Consolas"/>
          <w:color w:val="0D1524"/>
          <w:sz w:val="18"/>
        </w:rPr>
        <w:t xml:space="preserve">  lib/</w:t>
        <w:br/>
      </w:r>
      <w:r>
        <w:rPr>
          <w:rFonts w:ascii="Consolas" w:hAnsi="Consolas"/>
          <w:color w:val="0D1524"/>
          <w:sz w:val="18"/>
        </w:rPr>
        <w:t xml:space="preserve">    actions/        server actions and the shared validation rules</w:t>
        <w:br/>
      </w:r>
      <w:r>
        <w:rPr>
          <w:rFonts w:ascii="Consolas" w:hAnsi="Consolas"/>
          <w:color w:val="0D1524"/>
          <w:sz w:val="18"/>
        </w:rPr>
        <w:t xml:space="preserve">    rbac.ts         roles, permissions, approval matrix</w:t>
        <w:br/>
      </w:r>
      <w:r>
        <w:rPr>
          <w:rFonts w:ascii="Consolas" w:hAnsi="Consolas"/>
          <w:color w:val="0D1524"/>
          <w:sz w:val="18"/>
        </w:rPr>
        <w:t xml:space="preserve">    store.ts        JSON persistence</w:t>
        <w:br/>
      </w:r>
      <w:r>
        <w:rPr>
          <w:rFonts w:ascii="Consolas" w:hAnsi="Consolas"/>
          <w:color w:val="0D1524"/>
          <w:sz w:val="18"/>
        </w:rPr>
        <w:t xml:space="preserve">    seed.ts         deterministic demo data</w:t>
        <w:br/>
      </w:r>
      <w:r>
        <w:rPr>
          <w:rFonts w:ascii="Consolas" w:hAnsi="Consolas"/>
          <w:color w:val="0D1524"/>
          <w:sz w:val="18"/>
        </w:rPr>
        <w:t xml:space="preserve">    queries.ts      KPIs, alerts, forecasts</w:t>
        <w:br/>
      </w:r>
      <w:r>
        <w:rPr>
          <w:rFonts w:ascii="Consolas" w:hAnsi="Consolas"/>
          <w:color w:val="0D1524"/>
          <w:sz w:val="18"/>
        </w:rPr>
        <w:t xml:space="preserve">    audit.ts        audit trail writer</w:t>
      </w:r>
    </w:p>
    <w:p>
      <w:pPr>
        <w:pStyle w:val="Heading3"/>
      </w:pPr>
      <w:r>
        <w:t>Data</w:t>
      </w:r>
    </w:p>
    <w:p>
      <w:r>
        <w:rPr>
          <w:b w:val="0"/>
          <w:i w:val="0"/>
        </w:rPr>
        <w:t>Plain JSON files on disk, excluded from version control and regenerated deterministically when absent. No database is required to run the system.</w:t>
      </w:r>
    </w:p>
    <w:p>
      <w:pPr>
        <w:pStyle w:val="Heading3"/>
      </w:pPr>
      <w:r>
        <w:t>Access control</w:t>
      </w:r>
    </w:p>
    <w:p>
      <w:r>
        <w:rPr>
          <w:b w:val="0"/>
          <w:i w:val="0"/>
        </w:rPr>
        <w:t>Two independent layers. A shared site password can be placed in front of the whole system when it is hosted publicly; it is switched off locally, so the gate disappears during development. Behind that gate, the staff account picker establishes the session.</w:t>
      </w:r>
    </w:p>
    <w:p>
      <w:pPr>
        <w:pStyle w:val="Heading1"/>
      </w:pPr>
      <w:r>
        <w:t>11.  Scripts</w:t>
      </w:r>
    </w:p>
    <w:tbl>
      <w:tblPr>
        <w:tblStyle w:val="TableGrid"/>
        <w:tblW w:type="auto" w:w="0"/>
        <w:jc w:val="center"/>
        <w:tblLook w:firstColumn="1" w:firstRow="1" w:lastColumn="0" w:lastRow="0" w:noHBand="0" w:noVBand="1" w:val="04A0"/>
      </w:tblPr>
      <w:tblGrid>
        <w:gridCol w:w="4320"/>
        <w:gridCol w:w="4320"/>
      </w:tblGrid>
      <w:tr>
        <w:tc>
          <w:tcPr>
            <w:tcW w:type="dxa" w:w="3024"/>
            <w:shd w:val="clear" w:fill="0F7865"/>
          </w:tcPr>
          <w:p>
            <w:r/>
            <w:r>
              <w:rPr>
                <w:b/>
                <w:color w:val="FFFFFF"/>
                <w:sz w:val="19"/>
              </w:rPr>
              <w:t>Command</w:t>
            </w:r>
          </w:p>
        </w:tc>
        <w:tc>
          <w:tcPr>
            <w:tcW w:type="dxa" w:w="6192"/>
            <w:shd w:val="clear" w:fill="0F7865"/>
          </w:tcPr>
          <w:p>
            <w:r/>
            <w:r>
              <w:rPr>
                <w:b/>
                <w:color w:val="FFFFFF"/>
                <w:sz w:val="19"/>
              </w:rPr>
              <w:t>Purpose</w:t>
            </w:r>
          </w:p>
        </w:tc>
      </w:tr>
      <w:tr>
        <w:tc>
          <w:tcPr>
            <w:tcW w:type="dxa" w:w="3024"/>
          </w:tcPr>
          <w:p>
            <w:r/>
            <w:r>
              <w:rPr>
                <w:rFonts w:ascii="Consolas" w:hAnsi="Consolas"/>
                <w:color w:val="0F7865"/>
                <w:sz w:val="19"/>
              </w:rPr>
              <w:t>npm run dev</w:t>
            </w:r>
          </w:p>
        </w:tc>
        <w:tc>
          <w:tcPr>
            <w:tcW w:type="dxa" w:w="6192"/>
          </w:tcPr>
          <w:p>
            <w:r/>
            <w:r>
              <w:rPr>
                <w:sz w:val="19"/>
              </w:rPr>
              <w:t>Development server</w:t>
            </w:r>
          </w:p>
        </w:tc>
      </w:tr>
      <w:tr>
        <w:tc>
          <w:tcPr>
            <w:tcW w:type="dxa" w:w="3024"/>
            <w:shd w:val="clear" w:fill="F1F4F8"/>
          </w:tcPr>
          <w:p>
            <w:r/>
            <w:r>
              <w:rPr>
                <w:rFonts w:ascii="Consolas" w:hAnsi="Consolas"/>
                <w:color w:val="0F7865"/>
                <w:sz w:val="19"/>
              </w:rPr>
              <w:t>npm run build</w:t>
            </w:r>
          </w:p>
        </w:tc>
        <w:tc>
          <w:tcPr>
            <w:tcW w:type="dxa" w:w="6192"/>
            <w:shd w:val="clear" w:fill="F1F4F8"/>
          </w:tcPr>
          <w:p>
            <w:r/>
            <w:r>
              <w:rPr>
                <w:sz w:val="19"/>
              </w:rPr>
              <w:t>Production build</w:t>
            </w:r>
          </w:p>
        </w:tc>
      </w:tr>
      <w:tr>
        <w:tc>
          <w:tcPr>
            <w:tcW w:type="dxa" w:w="3024"/>
          </w:tcPr>
          <w:p>
            <w:r/>
            <w:r>
              <w:rPr>
                <w:rFonts w:ascii="Consolas" w:hAnsi="Consolas"/>
                <w:color w:val="0F7865"/>
                <w:sz w:val="19"/>
              </w:rPr>
              <w:t>npm start</w:t>
            </w:r>
          </w:p>
        </w:tc>
        <w:tc>
          <w:tcPr>
            <w:tcW w:type="dxa" w:w="6192"/>
          </w:tcPr>
          <w:p>
            <w:r/>
            <w:r>
              <w:rPr>
                <w:sz w:val="19"/>
              </w:rPr>
              <w:t>Serve the production build</w:t>
            </w:r>
          </w:p>
        </w:tc>
      </w:tr>
      <w:tr>
        <w:tc>
          <w:tcPr>
            <w:tcW w:type="dxa" w:w="3024"/>
            <w:shd w:val="clear" w:fill="F1F4F8"/>
          </w:tcPr>
          <w:p>
            <w:r/>
            <w:r>
              <w:rPr>
                <w:rFonts w:ascii="Consolas" w:hAnsi="Consolas"/>
                <w:color w:val="0F7865"/>
                <w:sz w:val="19"/>
              </w:rPr>
              <w:t>npm run lint</w:t>
            </w:r>
          </w:p>
        </w:tc>
        <w:tc>
          <w:tcPr>
            <w:tcW w:type="dxa" w:w="6192"/>
            <w:shd w:val="clear" w:fill="F1F4F8"/>
          </w:tcPr>
          <w:p>
            <w:r/>
            <w:r>
              <w:rPr>
                <w:sz w:val="19"/>
              </w:rPr>
              <w:t>Run ESLint</w:t>
            </w:r>
          </w:p>
        </w:tc>
      </w:tr>
      <w:tr>
        <w:tc>
          <w:tcPr>
            <w:tcW w:type="dxa" w:w="3024"/>
          </w:tcPr>
          <w:p>
            <w:r/>
            <w:r>
              <w:rPr>
                <w:rFonts w:ascii="Consolas" w:hAnsi="Consolas"/>
                <w:color w:val="0F7865"/>
                <w:sz w:val="19"/>
              </w:rPr>
              <w:t>npm test</w:t>
            </w:r>
          </w:p>
        </w:tc>
        <w:tc>
          <w:tcPr>
            <w:tcW w:type="dxa" w:w="6192"/>
          </w:tcPr>
          <w:p>
            <w:r/>
            <w:r>
              <w:rPr>
                <w:sz w:val="19"/>
              </w:rPr>
              <w:t>Business-rule test suite</w:t>
            </w:r>
          </w:p>
        </w:tc>
      </w:tr>
      <w:tr>
        <w:tc>
          <w:tcPr>
            <w:tcW w:type="dxa" w:w="3024"/>
            <w:shd w:val="clear" w:fill="F1F4F8"/>
          </w:tcPr>
          <w:p>
            <w:r/>
            <w:r>
              <w:rPr>
                <w:rFonts w:ascii="Consolas" w:hAnsi="Consolas"/>
                <w:color w:val="0F7865"/>
                <w:sz w:val="19"/>
              </w:rPr>
              <w:t>npm run reset-data</w:t>
            </w:r>
          </w:p>
        </w:tc>
        <w:tc>
          <w:tcPr>
            <w:tcW w:type="dxa" w:w="6192"/>
            <w:shd w:val="clear" w:fill="F1F4F8"/>
          </w:tcPr>
          <w:p>
            <w:r/>
            <w:r>
              <w:rPr>
                <w:sz w:val="19"/>
              </w:rPr>
              <w:t>Delete demo data; regenerates on next page load</w:t>
            </w:r>
          </w:p>
        </w:tc>
      </w:tr>
    </w:tbl>
    <w:p>
      <w:pPr>
        <w:spacing w:after="80"/>
      </w:pPr>
    </w:p>
    <w:p>
      <w:pPr>
        <w:pStyle w:val="Heading1"/>
      </w:pPr>
      <w:r>
        <w:t>12.  Testing</w:t>
      </w:r>
    </w:p>
    <w:p>
      <w:r>
        <w:rPr>
          <w:b w:val="0"/>
          <w:i w:val="0"/>
        </w:rPr>
        <w:t>26 checks cover the rule modules directly: the deposit window and cheque-number confirmation, returned-cheque handling, the maintenance description minimum and the AED 1,000 quotation threshold, and the renewal 5% cap including the boundary case of an increase of exactly 5%.</w:t>
      </w:r>
    </w:p>
    <w:p>
      <w:r>
        <w:rPr>
          <w:b w:val="0"/>
          <w:i w:val="0"/>
        </w:rPr>
        <w:t>Because the tests import the same modules the wizards and server actions use, a rule cannot pass its test while behaving differently in the running application.</w:t>
      </w:r>
    </w:p>
    <w:p>
      <w:pPr>
        <w:spacing w:before="80" w:after="200"/>
        <w:ind w:left="360"/>
      </w:pPr>
      <w:r>
        <w:rPr>
          <w:rFonts w:ascii="Consolas" w:hAnsi="Consolas"/>
          <w:color w:val="0D1524"/>
          <w:sz w:val="18"/>
        </w:rPr>
        <w:t>npm test</w:t>
      </w:r>
    </w:p>
    <w:p>
      <w:pPr>
        <w:pStyle w:val="Heading1"/>
      </w:pPr>
      <w:r>
        <w:t>13.  Deployment</w:t>
      </w:r>
    </w:p>
    <w:p>
      <w:r>
        <w:rPr>
          <w:b w:val="0"/>
          <w:i w:val="0"/>
        </w:rPr>
        <w:t>The repository describes a Render web service: it installs dependencies, builds, serves the production build, and is health-checked on a dedicated endpoint. Render generates the site access password on first deploy — read it from the dashboard's Environment tab and share it with staff.</w:t>
      </w:r>
    </w:p>
    <w:tbl>
      <w:tblPr>
        <w:tblStyle w:val="TableGrid"/>
        <w:tblW w:type="auto" w:w="0"/>
        <w:tblLook w:firstColumn="1" w:firstRow="1" w:lastColumn="0" w:lastRow="0" w:noHBand="0" w:noVBand="1" w:val="04A0"/>
      </w:tblPr>
      <w:tblGrid>
        <w:gridCol w:w="8640"/>
      </w:tblGrid>
      <w:tr>
        <w:tc>
          <w:tcPr>
            <w:tcW w:type="dxa" w:w="8640"/>
            <w:shd w:val="clear" w:fill="F1F4F8"/>
          </w:tcPr>
          <w:p>
            <w:r/>
            <w:r>
              <w:rPr>
                <w:b/>
                <w:color w:val="0F7865"/>
                <w:sz w:val="19"/>
              </w:rPr>
              <w:t xml:space="preserve">Important   </w:t>
            </w:r>
            <w:r>
              <w:rPr>
                <w:sz w:val="19"/>
              </w:rPr>
              <w:t>The free plan has no persistent disk, so anything staff change is lost when the service sleeps after roughly 15 minutes idle, or when it redeploys. The seeded demo data regenerates identically. To keep changes, upgrade the plan and enable the data directory and disk block in the deployment configuration.</w:t>
            </w:r>
          </w:p>
        </w:tc>
      </w:tr>
    </w:tbl>
    <w:p>
      <w:pPr>
        <w:spacing w:after="80"/>
      </w:pPr>
    </w:p>
    <w:p>
      <w:pPr>
        <w:pStyle w:val="Heading1"/>
      </w:pPr>
      <w:r>
        <w:t>14.  Production readiness</w:t>
      </w:r>
    </w:p>
    <w:p>
      <w:r>
        <w:rPr>
          <w:b w:val="0"/>
          <w:i w:val="0"/>
        </w:rPr>
        <w:t>Three things must change before real tenancy data is handled.</w:t>
      </w:r>
    </w:p>
    <w:p>
      <w:pPr>
        <w:pStyle w:val="Heading3"/>
      </w:pPr>
      <w:r>
        <w:t>Authentication</w:t>
      </w:r>
    </w:p>
    <w:p>
      <w:r>
        <w:rPr>
          <w:b w:val="0"/>
          <w:i w:val="0"/>
        </w:rPr>
        <w:t>Replace the staff account picker with company email, password and a one-time code, and restrict access to the office network or VPN.</w:t>
      </w:r>
    </w:p>
    <w:p>
      <w:pPr>
        <w:pStyle w:val="Heading3"/>
      </w:pPr>
      <w:r>
        <w:t>Storage</w:t>
      </w:r>
    </w:p>
    <w:p>
      <w:r>
        <w:rPr>
          <w:b w:val="0"/>
          <w:i w:val="0"/>
        </w:rPr>
        <w:t>Replace the JSON store with a real database. The database interface in the type definitions is the seam to implement against, so the rest of the system does not need to change.</w:t>
      </w:r>
    </w:p>
    <w:p>
      <w:pPr>
        <w:pStyle w:val="Heading3"/>
      </w:pPr>
      <w:r>
        <w:t>Documents</w:t>
      </w:r>
    </w:p>
    <w:p>
      <w:r>
        <w:rPr>
          <w:b w:val="0"/>
          <w:i w:val="0"/>
        </w:rPr>
        <w:t>Uploads are currently recorded as checklist entries and reference numbers rather than stored files. These need to be wired to real document storage.</w:t>
      </w:r>
    </w:p>
    <w:p>
      <w:r>
        <w:rPr>
          <w:b w:val="0"/>
          <w:i w:val="0"/>
        </w:rPr>
      </w:r>
    </w:p>
    <w:tbl>
      <w:tblPr>
        <w:tblStyle w:val="TableGrid"/>
        <w:tblW w:type="auto" w:w="0"/>
        <w:tblLook w:firstColumn="1" w:firstRow="1" w:lastColumn="0" w:lastRow="0" w:noHBand="0" w:noVBand="1" w:val="04A0"/>
      </w:tblPr>
      <w:tblGrid>
        <w:gridCol w:w="8640"/>
      </w:tblGrid>
      <w:tr>
        <w:tc>
          <w:tcPr>
            <w:tcW w:type="dxa" w:w="8640"/>
            <w:shd w:val="clear" w:fill="F1F4F8"/>
          </w:tcPr>
          <w:p>
            <w:r/>
            <w:r>
              <w:rPr>
                <w:b/>
                <w:color w:val="0F7865"/>
                <w:sz w:val="19"/>
              </w:rPr>
              <w:t xml:space="preserve">Carries over   </w:t>
            </w:r>
            <w:r>
              <w:rPr>
                <w:sz w:val="19"/>
              </w:rPr>
              <w:t>The permission model, rule enforcement, approval matrix and audit trail are all designed to carry over unchanged.</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F7865"/>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1524"/>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D15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