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eastAsia="Times New Roman"/>
          <w:b/>
          <w:i w:val="0"/>
          <w:color w:val="000000"/>
          <w:sz w:val="48"/>
        </w:rPr>
        <w:t>AI-Based Disease Outbreak Prediction Using Laboratory Test Data</w:t>
        <w:br/>
        <w:t>with a General Consultation Chatbot</w:t>
      </w:r>
    </w:p>
    <w:p>
      <w:pPr>
        <w:spacing w:after="40"/>
        <w:jc w:val="center"/>
      </w:pPr>
      <w:r>
        <w:rPr>
          <w:rFonts w:ascii="Times New Roman" w:hAnsi="Times New Roman" w:eastAsia="Times New Roman"/>
          <w:b w:val="0"/>
          <w:i w:val="0"/>
          <w:color w:val="000000"/>
          <w:sz w:val="22"/>
        </w:rPr>
        <w:t>Harshal Gulabrao Waghe</w:t>
      </w:r>
    </w:p>
    <w:p>
      <w:pPr>
        <w:spacing w:after="140"/>
        <w:jc w:val="center"/>
      </w:pPr>
      <w:r>
        <w:rPr>
          <w:rFonts w:ascii="Times New Roman" w:hAnsi="Times New Roman" w:eastAsia="Times New Roman"/>
          <w:b w:val="0"/>
          <w:i w:val="0"/>
          <w:color w:val="000000"/>
          <w:sz w:val="20"/>
        </w:rPr>
        <w:t>Department of Electronics and Telecommunication Engineering</w:t>
        <w:br/>
        <w:t>Suryodaya College of Engineering and Technology, Nagpur</w:t>
        <w:br/>
        <w:t>Nagpur, Maharashtra, India</w:t>
        <w:br/>
        <w:t>harshalwaghe91@gmail.com</w:t>
      </w:r>
    </w:p>
    <w:p>
      <w:pPr>
        <w:spacing w:after="80" w:line="240" w:lineRule="auto"/>
        <w:ind w:firstLine="0"/>
        <w:jc w:val="both"/>
      </w:pPr>
      <w:r>
        <w:rPr>
          <w:rFonts w:ascii="Times New Roman" w:hAnsi="Times New Roman" w:eastAsia="Times New Roman"/>
          <w:b/>
          <w:i/>
          <w:color w:val="000000"/>
          <w:sz w:val="18"/>
        </w:rPr>
        <w:t>Abstract—</w:t>
      </w:r>
      <w:r>
        <w:rPr>
          <w:rFonts w:ascii="Times New Roman" w:hAnsi="Times New Roman" w:eastAsia="Times New Roman"/>
          <w:b w:val="0"/>
          <w:i w:val="0"/>
          <w:color w:val="000000"/>
          <w:sz w:val="18"/>
        </w:rPr>
        <w:t>Early recognition of abnormal laboratory patterns can support timely public-health investigation, but many academic prototypes either expose a machine-learning model without an accessible interface or provide dashboards without an end-to-end prediction workflow. This paper presents OutbreakAI, a full-stack decision-support prototype that combines laboratory measurements, demographics, symptoms, machine learning, analytics, report storage, and a safety-oriented consultation chatbot. A synthetic dataset of 5,000 records was generated across five disease categories and three risk levels. Numeric features are standardized, categorical variables are one-hot encoded, symptom text is represented by term frequency-inverse document frequency features, and two Random Forest classifiers containing 220 trees each predict disease category and risk level. A transparent clinical-severity layer combines model confidence with abnormal temperature, oxygen saturation, inflammatory markers, white blood cell count, platelets, and blood sugar. On a held-out set of 1,000 synthetic records, the disease classifier obtained 1.000 accuracy and the risk classifier obtained 0.984 accuracy. These results demonstrate software and pipeline feasibility, not clinical validity; prospective evaluation on representative, expert-labeled data is required before any healthcare use.</w:t>
      </w:r>
    </w:p>
    <w:p>
      <w:pPr>
        <w:spacing w:after="120"/>
        <w:ind w:firstLine="0"/>
        <w:jc w:val="both"/>
      </w:pPr>
      <w:r>
        <w:rPr>
          <w:rFonts w:ascii="Times New Roman" w:hAnsi="Times New Roman" w:eastAsia="Times New Roman"/>
          <w:b/>
          <w:i/>
          <w:color w:val="000000"/>
          <w:sz w:val="18"/>
        </w:rPr>
        <w:t>Keywords—</w:t>
      </w:r>
      <w:r>
        <w:rPr>
          <w:rFonts w:ascii="Times New Roman" w:hAnsi="Times New Roman" w:eastAsia="Times New Roman"/>
          <w:b w:val="0"/>
          <w:i w:val="0"/>
          <w:color w:val="000000"/>
          <w:sz w:val="18"/>
        </w:rPr>
        <w:t>disease outbreak prediction, laboratory test data, Random Forest, public-health surveillance, FastAPI, healthcare chatbot, synthetic data.</w:t>
      </w:r>
    </w:p>
    <w:p>
      <w:pPr>
        <w:sectPr>
          <w:pgSz w:w="11906" w:h="16838"/>
          <w:pgMar w:top="1080" w:right="900" w:bottom="1440" w:left="900" w:header="432" w:footer="576" w:gutter="0"/>
          <w:cols w:space="360" w:num="1" w:equalWidth="1"/>
          <w:docGrid w:linePitch="360"/>
        </w:sectPr>
      </w:pPr>
    </w:p>
    <w:p>
      <w:pPr>
        <w:pStyle w:val="Heading1"/>
      </w:pPr>
      <w:r>
        <w:rPr>
          <w:rFonts w:ascii="Times New Roman" w:hAnsi="Times New Roman" w:eastAsia="Times New Roman"/>
          <w:b/>
          <w:i w:val="0"/>
          <w:color w:val="000000"/>
          <w:sz w:val="20"/>
        </w:rPr>
        <w:t>I. INTRODUCTION</w:t>
      </w:r>
    </w:p>
    <w:p>
      <w:pPr/>
      <w:r>
        <w:rPr>
          <w:rFonts w:ascii="Times New Roman" w:hAnsi="Times New Roman" w:eastAsia="Times New Roman"/>
          <w:b w:val="0"/>
          <w:i w:val="0"/>
          <w:color w:val="000000"/>
          <w:sz w:val="20"/>
        </w:rPr>
        <w:t>Disease surveillance depends on timely collection, analysis, interpretation, and communication of health information. Laboratory observations are particularly valuable because changes in white blood cell count, inflammatory markers, platelet count, oxygen saturation, and temperature may provide early signals of infectious or respiratory disease. The World Health Organization (WHO) describes early-warning systems as mechanisms that collect both immediate alerts and periodic surveillance data to support verification and response [1], [2]. However, laboratory values alone do not establish an outbreak or an individual diagnosis; interpretation requires epidemiological context, validated thresholds, and expert review.</w:t>
      </w:r>
    </w:p>
    <w:p>
      <w:pPr/>
      <w:r>
        <w:rPr>
          <w:rFonts w:ascii="Times New Roman" w:hAnsi="Times New Roman" w:eastAsia="Times New Roman"/>
          <w:b w:val="0"/>
          <w:i w:val="0"/>
          <w:color w:val="000000"/>
          <w:sz w:val="20"/>
        </w:rPr>
        <w:t>This work develops a deployable academic prototype that converts laboratory and symptom inputs into a risk category, likely disease group, outbreak probability, and preventive recommendation. The system also maintains prediction history, visualizes aggregate trends, and provides a rule-based chatbot that supplies general guidance while escalating emergency terms. The contribution is an integrated, reproducible stack rather than a claim of clinical deployment.</w:t>
      </w:r>
    </w:p>
    <w:p>
      <w:pPr/>
      <w:r>
        <w:rPr>
          <w:rFonts w:ascii="Times New Roman" w:hAnsi="Times New Roman" w:eastAsia="Times New Roman"/>
          <w:b w:val="0"/>
          <w:i w:val="0"/>
          <w:color w:val="000000"/>
          <w:sz w:val="20"/>
        </w:rPr>
        <w:t>The principal contributions are: (1) a multimodal preprocessing pipeline for numeric, categorical, and free-text inputs; (2) separate Random Forest models for disease category and risk classification; (3) a transparent rule layer that adjusts categories and probability using clinically interpretable abnormalities; (4) a full-stack interface with dashboards, reports, and chatbot safety controls; and (5) a deployment design using free-tier web services.</w:t>
      </w:r>
    </w:p>
    <w:p>
      <w:pPr>
        <w:pStyle w:val="Heading1"/>
      </w:pPr>
      <w:r>
        <w:rPr>
          <w:rFonts w:ascii="Times New Roman" w:hAnsi="Times New Roman" w:eastAsia="Times New Roman"/>
          <w:b/>
          <w:i w:val="0"/>
          <w:color w:val="000000"/>
          <w:sz w:val="20"/>
        </w:rPr>
        <w:t>II. RELATED WORK</w:t>
      </w:r>
    </w:p>
    <w:p>
      <w:pPr/>
      <w:r>
        <w:rPr>
          <w:rFonts w:ascii="Times New Roman" w:hAnsi="Times New Roman" w:eastAsia="Times New Roman"/>
          <w:b w:val="0"/>
          <w:i w:val="0"/>
          <w:color w:val="000000"/>
          <w:sz w:val="20"/>
        </w:rPr>
        <w:t>Random Forest is an ensemble method that combines randomized decision trees and aggregates their predictions. Breiman showed that the method can provide strong generalization while remaining comparatively robust to noise [3]. It is suitable for tabular laboratory data because it models nonlinear interactions, tolerates mixed feature scales after preprocessing, and provides class probabilities. The implementation uses scikit-learn's RandomForestClassifier [4], supported by pipelines and column-wise transformations [5].</w:t>
      </w:r>
    </w:p>
    <w:p>
      <w:pPr/>
      <w:r>
        <w:rPr>
          <w:rFonts w:ascii="Times New Roman" w:hAnsi="Times New Roman" w:eastAsia="Times New Roman"/>
          <w:b w:val="0"/>
          <w:i w:val="0"/>
          <w:color w:val="000000"/>
          <w:sz w:val="20"/>
        </w:rPr>
        <w:t>Prior public-health systems emphasize that alerts should initiate investigation rather than act as final diagnoses [1]. OutbreakAI follows this principle by presenting outputs as decision-support estimates, displaying a medical disclaimer, and separating emergency chatbot messages from routine advice. The system also preserves a clear distinction between patient-level classification and population-level outbreak surveillance: the dashboard summarizes submitted prototype records but does not estimate real incidence.</w:t>
      </w:r>
    </w:p>
    <w:p>
      <w:pPr>
        <w:pStyle w:val="Heading1"/>
      </w:pPr>
      <w:r>
        <w:rPr>
          <w:rFonts w:ascii="Times New Roman" w:hAnsi="Times New Roman" w:eastAsia="Times New Roman"/>
          <w:b/>
          <w:i w:val="0"/>
          <w:color w:val="000000"/>
          <w:sz w:val="20"/>
        </w:rPr>
        <w:t>III. SYSTEM DESIGN AND METHODOLOGY</w:t>
      </w:r>
    </w:p>
    <w:p>
      <w:pPr>
        <w:pStyle w:val="Heading2"/>
      </w:pPr>
      <w:r>
        <w:rPr>
          <w:rFonts w:ascii="Times New Roman" w:hAnsi="Times New Roman" w:eastAsia="Times New Roman"/>
          <w:b w:val="0"/>
          <w:i/>
          <w:color w:val="000000"/>
          <w:sz w:val="20"/>
        </w:rPr>
        <w:t>A. System Architecture</w:t>
      </w:r>
    </w:p>
    <w:p>
      <w:pPr/>
      <w:r>
        <w:rPr>
          <w:rFonts w:ascii="Times New Roman" w:hAnsi="Times New Roman" w:eastAsia="Times New Roman"/>
          <w:b w:val="0"/>
          <w:i w:val="0"/>
          <w:color w:val="000000"/>
          <w:sz w:val="20"/>
        </w:rPr>
        <w:t>The application follows a client-server architecture. A React single-page application sends JSON requests through Axios to a FastAPI backend. The backend validates inputs, loads a serialized model bundle with joblib, stores prediction records in SQLite, and returns JSON responses. Cross-origin resource sharing is configured for local and deployed frontend origins [6]. Figure 1 summarizes the primary components.</w:t>
      </w:r>
    </w:p>
    <w:p>
      <w:pPr>
        <w:keepNext/>
        <w:spacing w:before="40" w:after="0"/>
        <w:jc w:val="center"/>
      </w:pPr>
      <w:r>
        <w:drawing>
          <wp:inline xmlns:a="http://schemas.openxmlformats.org/drawingml/2006/main" xmlns:pic="http://schemas.openxmlformats.org/drawingml/2006/picture">
            <wp:extent cx="2907792" cy="205968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2907792" cy="2059686"/>
                    </a:xfrm>
                    <a:prstGeom prst="rect"/>
                  </pic:spPr>
                </pic:pic>
              </a:graphicData>
            </a:graphic>
          </wp:inline>
        </w:drawing>
      </w:r>
    </w:p>
    <w:p>
      <w:pPr>
        <w:keepNext/>
        <w:spacing w:before="40" w:after="60" w:line="240" w:lineRule="auto"/>
        <w:jc w:val="center"/>
      </w:pPr>
      <w:r>
        <w:rPr>
          <w:rFonts w:ascii="Times New Roman" w:hAnsi="Times New Roman" w:eastAsia="Times New Roman"/>
          <w:b w:val="0"/>
          <w:i w:val="0"/>
          <w:color w:val="000000"/>
          <w:sz w:val="16"/>
        </w:rPr>
        <w:t>Fig. 1. OutbreakAI full-stack system architecture.</w:t>
      </w:r>
    </w:p>
    <w:p>
      <w:pPr>
        <w:pStyle w:val="Heading2"/>
      </w:pPr>
      <w:r>
        <w:rPr>
          <w:rFonts w:ascii="Times New Roman" w:hAnsi="Times New Roman" w:eastAsia="Times New Roman"/>
          <w:b w:val="0"/>
          <w:i/>
          <w:color w:val="000000"/>
          <w:sz w:val="20"/>
        </w:rPr>
        <w:t>B. Dataset Generation</w:t>
      </w:r>
    </w:p>
    <w:p>
      <w:pPr/>
      <w:r>
        <w:rPr>
          <w:rFonts w:ascii="Times New Roman" w:hAnsi="Times New Roman" w:eastAsia="Times New Roman"/>
          <w:b w:val="0"/>
          <w:i w:val="0"/>
          <w:color w:val="000000"/>
          <w:sz w:val="20"/>
        </w:rPr>
        <w:t>Because no de-identified institutional dataset was available, a reproducible generator produced 5,000 synthetic records using a fixed random seed of 42. Each record contains age, gender, location, symptom text, and ten laboratory or physiological measurements. Records are assigned to Viral Infection, Bacterial Infection, Respiratory Disease, Dengue-like Illness, or Flu-like Illness. Class-specific perturbations create high WBC and CRP for bacterial cases, lower oxygen saturation for respiratory cases, lower platelet counts for dengue-like cases, and increased temperature for dengue-like and flu-like cases.</w:t>
      </w:r>
    </w:p>
    <w:p>
      <w:pPr>
        <w:keepNext/>
        <w:spacing w:before="40" w:after="60" w:line="240" w:lineRule="auto"/>
        <w:jc w:val="center"/>
      </w:pPr>
      <w:r>
        <w:rPr>
          <w:rFonts w:ascii="Times New Roman" w:hAnsi="Times New Roman" w:eastAsia="Times New Roman"/>
          <w:b w:val="0"/>
          <w:i w:val="0"/>
          <w:color w:val="000000"/>
          <w:sz w:val="16"/>
        </w:rPr>
        <w:t>TABLE I</w:t>
        <w:br/>
        <w:t>MODEL INPUT GROUPS</w:t>
      </w:r>
    </w:p>
    <w:tbl>
      <w:tblPr>
        <w:tblW w:type="dxa" w:w="470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0"/>
        <w:gridCol w:w="3200"/>
      </w:tblGrid>
      <w:tr>
        <w:trPr>
          <w:tblHeader w:val="true"/>
          <w:cantSplit/>
        </w:trPr>
        <w:tc>
          <w:tcPr>
            <w:tcW w:type="dxa" w:w="150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Group</w:t>
            </w:r>
          </w:p>
        </w:tc>
        <w:tc>
          <w:tcPr>
            <w:tcW w:type="dxa" w:w="320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Variables</w:t>
            </w:r>
          </w:p>
        </w:tc>
      </w:tr>
      <w:tr>
        <w:trPr>
          <w:cantSplit/>
        </w:trPr>
        <w:tc>
          <w:tcPr>
            <w:tcW w:type="dxa" w:w="1500"/>
            <w:vAlign w:val="center"/>
          </w:tcPr>
          <w:p>
            <w:pPr>
              <w:spacing w:after="0"/>
              <w:ind w:firstLine="0"/>
              <w:jc w:val="left"/>
            </w:pPr>
            <w:r>
              <w:rPr>
                <w:rFonts w:ascii="Times New Roman" w:hAnsi="Times New Roman" w:eastAsia="Times New Roman"/>
                <w:b w:val="0"/>
                <w:i w:val="0"/>
                <w:color w:val="000000"/>
                <w:sz w:val="16"/>
              </w:rPr>
              <w:t>Demographic</w:t>
            </w:r>
          </w:p>
        </w:tc>
        <w:tc>
          <w:tcPr>
            <w:tcW w:type="dxa" w:w="3200"/>
            <w:vAlign w:val="center"/>
          </w:tcPr>
          <w:p>
            <w:pPr>
              <w:spacing w:after="0"/>
              <w:ind w:firstLine="0"/>
              <w:jc w:val="center"/>
            </w:pPr>
            <w:r>
              <w:rPr>
                <w:rFonts w:ascii="Times New Roman" w:hAnsi="Times New Roman" w:eastAsia="Times New Roman"/>
                <w:b w:val="0"/>
                <w:i w:val="0"/>
                <w:color w:val="000000"/>
                <w:sz w:val="16"/>
              </w:rPr>
              <w:t>Age, gender, location</w:t>
            </w:r>
          </w:p>
        </w:tc>
      </w:tr>
      <w:tr>
        <w:trPr>
          <w:cantSplit/>
        </w:trPr>
        <w:tc>
          <w:tcPr>
            <w:tcW w:type="dxa" w:w="1500"/>
            <w:vAlign w:val="center"/>
          </w:tcPr>
          <w:p>
            <w:pPr>
              <w:spacing w:after="0"/>
              <w:ind w:firstLine="0"/>
              <w:jc w:val="left"/>
            </w:pPr>
            <w:r>
              <w:rPr>
                <w:rFonts w:ascii="Times New Roman" w:hAnsi="Times New Roman" w:eastAsia="Times New Roman"/>
                <w:b w:val="0"/>
                <w:i w:val="0"/>
                <w:color w:val="000000"/>
                <w:sz w:val="16"/>
              </w:rPr>
              <w:t>Symptoms</w:t>
            </w:r>
          </w:p>
        </w:tc>
        <w:tc>
          <w:tcPr>
            <w:tcW w:type="dxa" w:w="3200"/>
            <w:vAlign w:val="center"/>
          </w:tcPr>
          <w:p>
            <w:pPr>
              <w:spacing w:after="0"/>
              <w:ind w:firstLine="0"/>
              <w:jc w:val="center"/>
            </w:pPr>
            <w:r>
              <w:rPr>
                <w:rFonts w:ascii="Times New Roman" w:hAnsi="Times New Roman" w:eastAsia="Times New Roman"/>
                <w:b w:val="0"/>
                <w:i w:val="0"/>
                <w:color w:val="000000"/>
                <w:sz w:val="16"/>
              </w:rPr>
              <w:t>Free-text symptom description</w:t>
            </w:r>
          </w:p>
        </w:tc>
      </w:tr>
      <w:tr>
        <w:trPr>
          <w:cantSplit/>
        </w:trPr>
        <w:tc>
          <w:tcPr>
            <w:tcW w:type="dxa" w:w="1500"/>
            <w:vAlign w:val="center"/>
          </w:tcPr>
          <w:p>
            <w:pPr>
              <w:spacing w:after="0"/>
              <w:ind w:firstLine="0"/>
              <w:jc w:val="left"/>
            </w:pPr>
            <w:r>
              <w:rPr>
                <w:rFonts w:ascii="Times New Roman" w:hAnsi="Times New Roman" w:eastAsia="Times New Roman"/>
                <w:b w:val="0"/>
                <w:i w:val="0"/>
                <w:color w:val="000000"/>
                <w:sz w:val="16"/>
              </w:rPr>
              <w:t>Hematology</w:t>
            </w:r>
          </w:p>
        </w:tc>
        <w:tc>
          <w:tcPr>
            <w:tcW w:type="dxa" w:w="3200"/>
            <w:vAlign w:val="center"/>
          </w:tcPr>
          <w:p>
            <w:pPr>
              <w:spacing w:after="0"/>
              <w:ind w:firstLine="0"/>
              <w:jc w:val="center"/>
            </w:pPr>
            <w:r>
              <w:rPr>
                <w:rFonts w:ascii="Times New Roman" w:hAnsi="Times New Roman" w:eastAsia="Times New Roman"/>
                <w:b w:val="0"/>
                <w:i w:val="0"/>
                <w:color w:val="000000"/>
                <w:sz w:val="16"/>
              </w:rPr>
              <w:t>WBC, RBC, platelets, hemoglobin</w:t>
            </w:r>
          </w:p>
        </w:tc>
      </w:tr>
      <w:tr>
        <w:trPr>
          <w:cantSplit/>
        </w:trPr>
        <w:tc>
          <w:tcPr>
            <w:tcW w:type="dxa" w:w="1500"/>
            <w:vAlign w:val="center"/>
          </w:tcPr>
          <w:p>
            <w:pPr>
              <w:spacing w:after="0"/>
              <w:ind w:firstLine="0"/>
              <w:jc w:val="left"/>
            </w:pPr>
            <w:r>
              <w:rPr>
                <w:rFonts w:ascii="Times New Roman" w:hAnsi="Times New Roman" w:eastAsia="Times New Roman"/>
                <w:b w:val="0"/>
                <w:i w:val="0"/>
                <w:color w:val="000000"/>
                <w:sz w:val="16"/>
              </w:rPr>
              <w:t>Inflammation</w:t>
            </w:r>
          </w:p>
        </w:tc>
        <w:tc>
          <w:tcPr>
            <w:tcW w:type="dxa" w:w="3200"/>
            <w:vAlign w:val="center"/>
          </w:tcPr>
          <w:p>
            <w:pPr>
              <w:spacing w:after="0"/>
              <w:ind w:firstLine="0"/>
              <w:jc w:val="center"/>
            </w:pPr>
            <w:r>
              <w:rPr>
                <w:rFonts w:ascii="Times New Roman" w:hAnsi="Times New Roman" w:eastAsia="Times New Roman"/>
                <w:b w:val="0"/>
                <w:i w:val="0"/>
                <w:color w:val="000000"/>
                <w:sz w:val="16"/>
              </w:rPr>
              <w:t>CRP, ESR</w:t>
            </w:r>
          </w:p>
        </w:tc>
      </w:tr>
      <w:tr>
        <w:trPr>
          <w:cantSplit/>
        </w:trPr>
        <w:tc>
          <w:tcPr>
            <w:tcW w:type="dxa" w:w="1500"/>
            <w:vAlign w:val="center"/>
          </w:tcPr>
          <w:p>
            <w:pPr>
              <w:spacing w:after="0"/>
              <w:ind w:firstLine="0"/>
              <w:jc w:val="left"/>
            </w:pPr>
            <w:r>
              <w:rPr>
                <w:rFonts w:ascii="Times New Roman" w:hAnsi="Times New Roman" w:eastAsia="Times New Roman"/>
                <w:b w:val="0"/>
                <w:i w:val="0"/>
                <w:color w:val="000000"/>
                <w:sz w:val="16"/>
              </w:rPr>
              <w:t>Vitals</w:t>
            </w:r>
          </w:p>
        </w:tc>
        <w:tc>
          <w:tcPr>
            <w:tcW w:type="dxa" w:w="3200"/>
            <w:vAlign w:val="center"/>
          </w:tcPr>
          <w:p>
            <w:pPr>
              <w:spacing w:after="0"/>
              <w:ind w:firstLine="0"/>
              <w:jc w:val="center"/>
            </w:pPr>
            <w:r>
              <w:rPr>
                <w:rFonts w:ascii="Times New Roman" w:hAnsi="Times New Roman" w:eastAsia="Times New Roman"/>
                <w:b w:val="0"/>
                <w:i w:val="0"/>
                <w:color w:val="000000"/>
                <w:sz w:val="16"/>
              </w:rPr>
              <w:t>Temperature, oxygen saturation</w:t>
            </w:r>
          </w:p>
        </w:tc>
      </w:tr>
      <w:tr>
        <w:trPr>
          <w:cantSplit/>
        </w:trPr>
        <w:tc>
          <w:tcPr>
            <w:tcW w:type="dxa" w:w="1500"/>
            <w:vAlign w:val="center"/>
          </w:tcPr>
          <w:p>
            <w:pPr>
              <w:spacing w:after="0"/>
              <w:ind w:firstLine="0"/>
              <w:jc w:val="left"/>
            </w:pPr>
            <w:r>
              <w:rPr>
                <w:rFonts w:ascii="Times New Roman" w:hAnsi="Times New Roman" w:eastAsia="Times New Roman"/>
                <w:b w:val="0"/>
                <w:i w:val="0"/>
                <w:color w:val="000000"/>
                <w:sz w:val="16"/>
              </w:rPr>
              <w:t>Metabolic</w:t>
            </w:r>
          </w:p>
        </w:tc>
        <w:tc>
          <w:tcPr>
            <w:tcW w:type="dxa" w:w="3200"/>
            <w:vAlign w:val="center"/>
          </w:tcPr>
          <w:p>
            <w:pPr>
              <w:spacing w:after="0"/>
              <w:ind w:firstLine="0"/>
              <w:jc w:val="center"/>
            </w:pPr>
            <w:r>
              <w:rPr>
                <w:rFonts w:ascii="Times New Roman" w:hAnsi="Times New Roman" w:eastAsia="Times New Roman"/>
                <w:b w:val="0"/>
                <w:i w:val="0"/>
                <w:color w:val="000000"/>
                <w:sz w:val="16"/>
              </w:rPr>
              <w:t>Blood sugar</w:t>
            </w:r>
          </w:p>
        </w:tc>
      </w:tr>
    </w:tbl>
    <w:p>
      <w:pPr>
        <w:spacing w:after="0" w:line="240" w:lineRule="auto"/>
      </w:pPr>
    </w:p>
    <w:p>
      <w:pPr/>
      <w:r>
        <w:rPr>
          <w:rFonts w:ascii="Times New Roman" w:hAnsi="Times New Roman" w:eastAsia="Times New Roman"/>
          <w:b w:val="0"/>
          <w:i w:val="0"/>
          <w:color w:val="000000"/>
          <w:sz w:val="20"/>
        </w:rPr>
        <w:t>Risk labels are derived from five severity indicators: temperature above 39 °C, oxygen saturation below 93%, CRP above 55 mg/L, platelet count below 110×10³/µL, and WBC count above 15×10³/µL. Zero indicators produce Low risk, one or two produce Medium risk, and three or more produce High risk. This deterministic labeling supports pipeline testing but also makes the evaluation easier than a real clinical task.</w:t>
      </w:r>
    </w:p>
    <w:p>
      <w:pPr>
        <w:pStyle w:val="Heading2"/>
      </w:pPr>
      <w:r>
        <w:rPr>
          <w:rFonts w:ascii="Times New Roman" w:hAnsi="Times New Roman" w:eastAsia="Times New Roman"/>
          <w:b w:val="0"/>
          <w:i/>
          <w:color w:val="000000"/>
          <w:sz w:val="20"/>
        </w:rPr>
        <w:t>C. Preprocessing and Model Training</w:t>
      </w:r>
    </w:p>
    <w:p>
      <w:pPr/>
      <w:r>
        <w:rPr>
          <w:rFonts w:ascii="Times New Roman" w:hAnsi="Times New Roman" w:eastAsia="Times New Roman"/>
          <w:b w:val="0"/>
          <w:i w:val="0"/>
          <w:color w:val="000000"/>
          <w:sz w:val="20"/>
        </w:rPr>
        <w:t>The dataset is divided into 4,000 training and 1,000 testing records using an 80:20 stratified split. Numeric features are standardized, gender and location are one-hot encoded with unknown-category handling, and symptoms are transformed using TF-IDF with unigrams and bigrams and a maximum of 80 terms. Two independent Random Forest classifiers are trained with 220 trees, balanced class weights, parallel execution, and a fixed random state. The fitted pipelines, metrics, training time, and dataset size are saved in outbreak_model.pkl.</w:t>
      </w:r>
    </w:p>
    <w:p>
      <w:pPr>
        <w:keepNext/>
        <w:spacing w:before="40" w:after="0"/>
        <w:jc w:val="center"/>
      </w:pPr>
      <w:r>
        <w:drawing>
          <wp:inline xmlns:a="http://schemas.openxmlformats.org/drawingml/2006/main" xmlns:pic="http://schemas.openxmlformats.org/drawingml/2006/picture">
            <wp:extent cx="2907792" cy="1163117"/>
            <wp:docPr id="2" name="Picture 2"/>
            <wp:cNvGraphicFramePr>
              <a:graphicFrameLocks noChangeAspect="1"/>
            </wp:cNvGraphicFramePr>
            <a:graphic>
              <a:graphicData uri="http://schemas.openxmlformats.org/drawingml/2006/picture">
                <pic:pic>
                  <pic:nvPicPr>
                    <pic:cNvPr id="0" name="prediction_pipeline.png"/>
                    <pic:cNvPicPr/>
                  </pic:nvPicPr>
                  <pic:blipFill>
                    <a:blip r:embed="rId10"/>
                    <a:stretch>
                      <a:fillRect/>
                    </a:stretch>
                  </pic:blipFill>
                  <pic:spPr>
                    <a:xfrm>
                      <a:off x="0" y="0"/>
                      <a:ext cx="2907792" cy="1163117"/>
                    </a:xfrm>
                    <a:prstGeom prst="rect"/>
                  </pic:spPr>
                </pic:pic>
              </a:graphicData>
            </a:graphic>
          </wp:inline>
        </w:drawing>
      </w:r>
    </w:p>
    <w:p>
      <w:pPr>
        <w:keepNext/>
        <w:spacing w:before="40" w:after="60" w:line="240" w:lineRule="auto"/>
        <w:jc w:val="center"/>
      </w:pPr>
      <w:r>
        <w:rPr>
          <w:rFonts w:ascii="Times New Roman" w:hAnsi="Times New Roman" w:eastAsia="Times New Roman"/>
          <w:b w:val="0"/>
          <w:i w:val="0"/>
          <w:color w:val="000000"/>
          <w:sz w:val="16"/>
        </w:rPr>
        <w:t>Fig. 2. Prediction preprocessing and inference pipeline.</w:t>
      </w:r>
    </w:p>
    <w:p>
      <w:pPr>
        <w:pStyle w:val="Heading2"/>
      </w:pPr>
      <w:r>
        <w:rPr>
          <w:rFonts w:ascii="Times New Roman" w:hAnsi="Times New Roman" w:eastAsia="Times New Roman"/>
          <w:b w:val="0"/>
          <w:i/>
          <w:color w:val="000000"/>
          <w:sz w:val="20"/>
        </w:rPr>
        <w:t>D. Hybrid Clinical Adjustment</w:t>
      </w:r>
    </w:p>
    <w:p>
      <w:pPr/>
      <w:r>
        <w:rPr>
          <w:rFonts w:ascii="Times New Roman" w:hAnsi="Times New Roman" w:eastAsia="Times New Roman"/>
          <w:b w:val="0"/>
          <w:i w:val="0"/>
          <w:color w:val="000000"/>
          <w:sz w:val="20"/>
        </w:rPr>
        <w:t>A clinical-severity score S complements the model output. Each input abnormality is normalized to [0,1] and combined as S = 0.20T + 0.25O + 0.15C + 0.10E + 0.12W + 0.13P + 0.05G, where T is temperature elevation, O is oxygen deficit, C is CRP elevation, E is ESR elevation, W is WBC deviation, P is platelet reduction, and G is blood-sugar abnormality. The displayed probability combines an 0.08 baseline, 0.78S, 0.08 model confidence, and an adjustment of 0.00, 0.10, or 0.20 for the model's Low, Medium, or High risk prediction.</w:t>
      </w:r>
    </w:p>
    <w:p>
      <w:pPr/>
      <w:r>
        <w:rPr>
          <w:rFonts w:ascii="Times New Roman" w:hAnsi="Times New Roman" w:eastAsia="Times New Roman"/>
          <w:b w:val="0"/>
          <w:i w:val="0"/>
          <w:color w:val="000000"/>
          <w:sz w:val="20"/>
        </w:rPr>
        <w:t>Transparent category rules prioritize recognizable patterns: fever with thrombocytopenia suggests a dengue-like category; low oxygen or breathing symptoms suggest respiratory disease; WBC above 12×10³/µL or CRP above 35 mg/L suggests bacterial infection; and fever with cough, sore throat, or body ache suggests flu-like illness. These rules are educational heuristics and are not diagnostic criteria.</w:t>
      </w:r>
    </w:p>
    <w:p>
      <w:pPr>
        <w:pStyle w:val="Heading2"/>
      </w:pPr>
      <w:r>
        <w:rPr>
          <w:rFonts w:ascii="Times New Roman" w:hAnsi="Times New Roman" w:eastAsia="Times New Roman"/>
          <w:b w:val="0"/>
          <w:i/>
          <w:color w:val="000000"/>
          <w:sz w:val="20"/>
        </w:rPr>
        <w:t>E. Consultation Chatbot</w:t>
      </w:r>
    </w:p>
    <w:p>
      <w:pPr/>
      <w:r>
        <w:rPr>
          <w:rFonts w:ascii="Times New Roman" w:hAnsi="Times New Roman" w:eastAsia="Times New Roman"/>
          <w:b w:val="0"/>
          <w:i w:val="0"/>
          <w:color w:val="000000"/>
          <w:sz w:val="20"/>
        </w:rPr>
        <w:t>The chatbot is intentionally rule based so that its behavior remains deterministic and auditable. It provides general advice for fever, respiratory symptoms, headache, gastrointestinal symptoms, and dengue-like symptoms. Messages containing chest pain, breathing difficulty, unconsciousness, seizure, facial drooping, slurred speech, or sudden weakness trigger an emergency response directing the user to local emergency services. Every response includes a disclaimer and avoids final diagnosis.</w:t>
      </w:r>
    </w:p>
    <w:p>
      <w:pPr>
        <w:pStyle w:val="Heading1"/>
      </w:pPr>
      <w:r>
        <w:rPr>
          <w:rFonts w:ascii="Times New Roman" w:hAnsi="Times New Roman" w:eastAsia="Times New Roman"/>
          <w:b/>
          <w:i w:val="0"/>
          <w:color w:val="000000"/>
          <w:sz w:val="20"/>
        </w:rPr>
        <w:t>IV. IMPLEMENTATION</w:t>
      </w:r>
    </w:p>
    <w:p>
      <w:pPr>
        <w:pStyle w:val="Heading2"/>
      </w:pPr>
      <w:r>
        <w:rPr>
          <w:rFonts w:ascii="Times New Roman" w:hAnsi="Times New Roman" w:eastAsia="Times New Roman"/>
          <w:b w:val="0"/>
          <w:i/>
          <w:color w:val="000000"/>
          <w:sz w:val="20"/>
        </w:rPr>
        <w:t>A. Backend and Database</w:t>
      </w:r>
    </w:p>
    <w:p>
      <w:pPr/>
      <w:r>
        <w:rPr>
          <w:rFonts w:ascii="Times New Roman" w:hAnsi="Times New Roman" w:eastAsia="Times New Roman"/>
          <w:b w:val="0"/>
          <w:i w:val="0"/>
          <w:color w:val="000000"/>
          <w:sz w:val="20"/>
        </w:rPr>
        <w:t>FastAPI exposes POST /predict and POST /chat together with GET /dashboard, GET /reports, and GET /analytics. Pydantic schemas validate request fields and response types. The model bundle is loaded once through a cached service function, reducing repeated disk access. SQLite provides a compact, serverless, single-file database appropriate for an academic prototype [7]. Prediction history supplies the reports table and aggregate dashboard statistics.</w:t>
      </w:r>
    </w:p>
    <w:p>
      <w:pPr>
        <w:keepNext/>
        <w:spacing w:before="40" w:after="60" w:line="240" w:lineRule="auto"/>
        <w:jc w:val="center"/>
      </w:pPr>
      <w:r>
        <w:rPr>
          <w:rFonts w:ascii="Times New Roman" w:hAnsi="Times New Roman" w:eastAsia="Times New Roman"/>
          <w:b w:val="0"/>
          <w:i w:val="0"/>
          <w:color w:val="000000"/>
          <w:sz w:val="16"/>
        </w:rPr>
        <w:t>TABLE II</w:t>
        <w:br/>
        <w:t>REST API ENDPOINTS</w:t>
      </w:r>
    </w:p>
    <w:tbl>
      <w:tblPr>
        <w:tblW w:type="dxa" w:w="470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00"/>
        <w:gridCol w:w="1350"/>
        <w:gridCol w:w="2550"/>
      </w:tblGrid>
      <w:tr>
        <w:trPr>
          <w:tblHeader w:val="true"/>
          <w:cantSplit/>
        </w:trPr>
        <w:tc>
          <w:tcPr>
            <w:tcW w:type="dxa" w:w="80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Method</w:t>
            </w:r>
          </w:p>
        </w:tc>
        <w:tc>
          <w:tcPr>
            <w:tcW w:type="dxa" w:w="135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Endpoint</w:t>
            </w:r>
          </w:p>
        </w:tc>
        <w:tc>
          <w:tcPr>
            <w:tcW w:type="dxa" w:w="255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Purpose</w:t>
            </w:r>
          </w:p>
        </w:tc>
      </w:tr>
      <w:tr>
        <w:trPr>
          <w:cantSplit/>
        </w:trPr>
        <w:tc>
          <w:tcPr>
            <w:tcW w:type="dxa" w:w="800"/>
            <w:vAlign w:val="center"/>
          </w:tcPr>
          <w:p>
            <w:pPr>
              <w:spacing w:after="0"/>
              <w:ind w:firstLine="0"/>
              <w:jc w:val="left"/>
            </w:pPr>
            <w:r>
              <w:rPr>
                <w:rFonts w:ascii="Times New Roman" w:hAnsi="Times New Roman" w:eastAsia="Times New Roman"/>
                <w:b w:val="0"/>
                <w:i w:val="0"/>
                <w:color w:val="000000"/>
                <w:sz w:val="16"/>
              </w:rPr>
              <w:t>POST</w:t>
            </w:r>
          </w:p>
        </w:tc>
        <w:tc>
          <w:tcPr>
            <w:tcW w:type="dxa" w:w="1350"/>
            <w:vAlign w:val="center"/>
          </w:tcPr>
          <w:p>
            <w:pPr>
              <w:spacing w:after="0"/>
              <w:ind w:firstLine="0"/>
              <w:jc w:val="center"/>
            </w:pPr>
            <w:r>
              <w:rPr>
                <w:rFonts w:ascii="Times New Roman" w:hAnsi="Times New Roman" w:eastAsia="Times New Roman"/>
                <w:b w:val="0"/>
                <w:i w:val="0"/>
                <w:color w:val="000000"/>
                <w:sz w:val="16"/>
              </w:rPr>
              <w:t>/predict</w:t>
            </w:r>
          </w:p>
        </w:tc>
        <w:tc>
          <w:tcPr>
            <w:tcW w:type="dxa" w:w="2550"/>
            <w:vAlign w:val="center"/>
          </w:tcPr>
          <w:p>
            <w:pPr>
              <w:spacing w:after="0"/>
              <w:ind w:firstLine="0"/>
              <w:jc w:val="center"/>
            </w:pPr>
            <w:r>
              <w:rPr>
                <w:rFonts w:ascii="Times New Roman" w:hAnsi="Times New Roman" w:eastAsia="Times New Roman"/>
                <w:b w:val="0"/>
                <w:i w:val="0"/>
                <w:color w:val="000000"/>
                <w:sz w:val="16"/>
              </w:rPr>
              <w:t>Generate and store prediction</w:t>
            </w:r>
          </w:p>
        </w:tc>
      </w:tr>
      <w:tr>
        <w:trPr>
          <w:cantSplit/>
        </w:trPr>
        <w:tc>
          <w:tcPr>
            <w:tcW w:type="dxa" w:w="800"/>
            <w:vAlign w:val="center"/>
          </w:tcPr>
          <w:p>
            <w:pPr>
              <w:spacing w:after="0"/>
              <w:ind w:firstLine="0"/>
              <w:jc w:val="left"/>
            </w:pPr>
            <w:r>
              <w:rPr>
                <w:rFonts w:ascii="Times New Roman" w:hAnsi="Times New Roman" w:eastAsia="Times New Roman"/>
                <w:b w:val="0"/>
                <w:i w:val="0"/>
                <w:color w:val="000000"/>
                <w:sz w:val="16"/>
              </w:rPr>
              <w:t>POST</w:t>
            </w:r>
          </w:p>
        </w:tc>
        <w:tc>
          <w:tcPr>
            <w:tcW w:type="dxa" w:w="1350"/>
            <w:vAlign w:val="center"/>
          </w:tcPr>
          <w:p>
            <w:pPr>
              <w:spacing w:after="0"/>
              <w:ind w:firstLine="0"/>
              <w:jc w:val="center"/>
            </w:pPr>
            <w:r>
              <w:rPr>
                <w:rFonts w:ascii="Times New Roman" w:hAnsi="Times New Roman" w:eastAsia="Times New Roman"/>
                <w:b w:val="0"/>
                <w:i w:val="0"/>
                <w:color w:val="000000"/>
                <w:sz w:val="16"/>
              </w:rPr>
              <w:t>/chat</w:t>
            </w:r>
          </w:p>
        </w:tc>
        <w:tc>
          <w:tcPr>
            <w:tcW w:type="dxa" w:w="2550"/>
            <w:vAlign w:val="center"/>
          </w:tcPr>
          <w:p>
            <w:pPr>
              <w:spacing w:after="0"/>
              <w:ind w:firstLine="0"/>
              <w:jc w:val="center"/>
            </w:pPr>
            <w:r>
              <w:rPr>
                <w:rFonts w:ascii="Times New Roman" w:hAnsi="Times New Roman" w:eastAsia="Times New Roman"/>
                <w:b w:val="0"/>
                <w:i w:val="0"/>
                <w:color w:val="000000"/>
                <w:sz w:val="16"/>
              </w:rPr>
              <w:t>Return general consultation</w:t>
            </w:r>
          </w:p>
        </w:tc>
      </w:tr>
      <w:tr>
        <w:trPr>
          <w:cantSplit/>
        </w:trPr>
        <w:tc>
          <w:tcPr>
            <w:tcW w:type="dxa" w:w="800"/>
            <w:vAlign w:val="center"/>
          </w:tcPr>
          <w:p>
            <w:pPr>
              <w:spacing w:after="0"/>
              <w:ind w:firstLine="0"/>
              <w:jc w:val="left"/>
            </w:pPr>
            <w:r>
              <w:rPr>
                <w:rFonts w:ascii="Times New Roman" w:hAnsi="Times New Roman" w:eastAsia="Times New Roman"/>
                <w:b w:val="0"/>
                <w:i w:val="0"/>
                <w:color w:val="000000"/>
                <w:sz w:val="16"/>
              </w:rPr>
              <w:t>GET</w:t>
            </w:r>
          </w:p>
        </w:tc>
        <w:tc>
          <w:tcPr>
            <w:tcW w:type="dxa" w:w="1350"/>
            <w:vAlign w:val="center"/>
          </w:tcPr>
          <w:p>
            <w:pPr>
              <w:spacing w:after="0"/>
              <w:ind w:firstLine="0"/>
              <w:jc w:val="center"/>
            </w:pPr>
            <w:r>
              <w:rPr>
                <w:rFonts w:ascii="Times New Roman" w:hAnsi="Times New Roman" w:eastAsia="Times New Roman"/>
                <w:b w:val="0"/>
                <w:i w:val="0"/>
                <w:color w:val="000000"/>
                <w:sz w:val="16"/>
              </w:rPr>
              <w:t>/dashboard</w:t>
            </w:r>
          </w:p>
        </w:tc>
        <w:tc>
          <w:tcPr>
            <w:tcW w:type="dxa" w:w="2550"/>
            <w:vAlign w:val="center"/>
          </w:tcPr>
          <w:p>
            <w:pPr>
              <w:spacing w:after="0"/>
              <w:ind w:firstLine="0"/>
              <w:jc w:val="center"/>
            </w:pPr>
            <w:r>
              <w:rPr>
                <w:rFonts w:ascii="Times New Roman" w:hAnsi="Times New Roman" w:eastAsia="Times New Roman"/>
                <w:b w:val="0"/>
                <w:i w:val="0"/>
                <w:color w:val="000000"/>
                <w:sz w:val="16"/>
              </w:rPr>
              <w:t>Summary metrics</w:t>
            </w:r>
          </w:p>
        </w:tc>
      </w:tr>
      <w:tr>
        <w:trPr>
          <w:cantSplit/>
        </w:trPr>
        <w:tc>
          <w:tcPr>
            <w:tcW w:type="dxa" w:w="800"/>
            <w:vAlign w:val="center"/>
          </w:tcPr>
          <w:p>
            <w:pPr>
              <w:spacing w:after="0"/>
              <w:ind w:firstLine="0"/>
              <w:jc w:val="left"/>
            </w:pPr>
            <w:r>
              <w:rPr>
                <w:rFonts w:ascii="Times New Roman" w:hAnsi="Times New Roman" w:eastAsia="Times New Roman"/>
                <w:b w:val="0"/>
                <w:i w:val="0"/>
                <w:color w:val="000000"/>
                <w:sz w:val="16"/>
              </w:rPr>
              <w:t>GET</w:t>
            </w:r>
          </w:p>
        </w:tc>
        <w:tc>
          <w:tcPr>
            <w:tcW w:type="dxa" w:w="1350"/>
            <w:vAlign w:val="center"/>
          </w:tcPr>
          <w:p>
            <w:pPr>
              <w:spacing w:after="0"/>
              <w:ind w:firstLine="0"/>
              <w:jc w:val="center"/>
            </w:pPr>
            <w:r>
              <w:rPr>
                <w:rFonts w:ascii="Times New Roman" w:hAnsi="Times New Roman" w:eastAsia="Times New Roman"/>
                <w:b w:val="0"/>
                <w:i w:val="0"/>
                <w:color w:val="000000"/>
                <w:sz w:val="16"/>
              </w:rPr>
              <w:t>/reports</w:t>
            </w:r>
          </w:p>
        </w:tc>
        <w:tc>
          <w:tcPr>
            <w:tcW w:type="dxa" w:w="2550"/>
            <w:vAlign w:val="center"/>
          </w:tcPr>
          <w:p>
            <w:pPr>
              <w:spacing w:after="0"/>
              <w:ind w:firstLine="0"/>
              <w:jc w:val="center"/>
            </w:pPr>
            <w:r>
              <w:rPr>
                <w:rFonts w:ascii="Times New Roman" w:hAnsi="Times New Roman" w:eastAsia="Times New Roman"/>
                <w:b w:val="0"/>
                <w:i w:val="0"/>
                <w:color w:val="000000"/>
                <w:sz w:val="16"/>
              </w:rPr>
              <w:t>Prediction history</w:t>
            </w:r>
          </w:p>
        </w:tc>
      </w:tr>
      <w:tr>
        <w:trPr>
          <w:cantSplit/>
        </w:trPr>
        <w:tc>
          <w:tcPr>
            <w:tcW w:type="dxa" w:w="800"/>
            <w:vAlign w:val="center"/>
          </w:tcPr>
          <w:p>
            <w:pPr>
              <w:spacing w:after="0"/>
              <w:ind w:firstLine="0"/>
              <w:jc w:val="left"/>
            </w:pPr>
            <w:r>
              <w:rPr>
                <w:rFonts w:ascii="Times New Roman" w:hAnsi="Times New Roman" w:eastAsia="Times New Roman"/>
                <w:b w:val="0"/>
                <w:i w:val="0"/>
                <w:color w:val="000000"/>
                <w:sz w:val="16"/>
              </w:rPr>
              <w:t>GET</w:t>
            </w:r>
          </w:p>
        </w:tc>
        <w:tc>
          <w:tcPr>
            <w:tcW w:type="dxa" w:w="1350"/>
            <w:vAlign w:val="center"/>
          </w:tcPr>
          <w:p>
            <w:pPr>
              <w:spacing w:after="0"/>
              <w:ind w:firstLine="0"/>
              <w:jc w:val="center"/>
            </w:pPr>
            <w:r>
              <w:rPr>
                <w:rFonts w:ascii="Times New Roman" w:hAnsi="Times New Roman" w:eastAsia="Times New Roman"/>
                <w:b w:val="0"/>
                <w:i w:val="0"/>
                <w:color w:val="000000"/>
                <w:sz w:val="16"/>
              </w:rPr>
              <w:t>/analytics</w:t>
            </w:r>
          </w:p>
        </w:tc>
        <w:tc>
          <w:tcPr>
            <w:tcW w:type="dxa" w:w="2550"/>
            <w:vAlign w:val="center"/>
          </w:tcPr>
          <w:p>
            <w:pPr>
              <w:spacing w:after="0"/>
              <w:ind w:firstLine="0"/>
              <w:jc w:val="center"/>
            </w:pPr>
            <w:r>
              <w:rPr>
                <w:rFonts w:ascii="Times New Roman" w:hAnsi="Times New Roman" w:eastAsia="Times New Roman"/>
                <w:b w:val="0"/>
                <w:i w:val="0"/>
                <w:color w:val="000000"/>
                <w:sz w:val="16"/>
              </w:rPr>
              <w:t>Chart-ready aggregates</w:t>
            </w:r>
          </w:p>
        </w:tc>
      </w:tr>
    </w:tbl>
    <w:p>
      <w:pPr>
        <w:spacing w:after="0" w:line="240" w:lineRule="auto"/>
      </w:pPr>
    </w:p>
    <w:p>
      <w:pPr>
        <w:pStyle w:val="Heading2"/>
      </w:pPr>
      <w:r>
        <w:rPr>
          <w:rFonts w:ascii="Times New Roman" w:hAnsi="Times New Roman" w:eastAsia="Times New Roman"/>
          <w:b w:val="0"/>
          <w:i/>
          <w:color w:val="000000"/>
          <w:sz w:val="20"/>
        </w:rPr>
        <w:t>B. Frontend and Deployment</w:t>
      </w:r>
    </w:p>
    <w:p>
      <w:pPr/>
      <w:r>
        <w:rPr>
          <w:rFonts w:ascii="Times New Roman" w:hAnsi="Times New Roman" w:eastAsia="Times New Roman"/>
          <w:b w:val="0"/>
          <w:i w:val="0"/>
          <w:color w:val="000000"/>
          <w:sz w:val="20"/>
        </w:rPr>
        <w:t>The React interface contains a landing page, prediction form, analytics dashboard, consultation chatbot, reports page, and administrative overview. Tailwind CSS supplies responsive styling, Recharts renders interactive charts, React Router manages navigation, and Axios handles API calls. The production frontend is deployed on Vercel and the backend on Render. The API timeout is set to 70 seconds to accommodate possible free-tier cold starts, while the interface reports request errors to the user instead of failing silently.</w:t>
      </w:r>
    </w:p>
    <w:p>
      <w:pPr/>
      <w:r>
        <w:rPr>
          <w:rFonts w:ascii="Times New Roman" w:hAnsi="Times New Roman" w:eastAsia="Times New Roman"/>
          <w:b w:val="0"/>
          <w:i w:val="0"/>
          <w:color w:val="000000"/>
          <w:sz w:val="20"/>
        </w:rPr>
        <w:t>CORS allows the configured production domain and local development origins. Environment variables separate the backend URL from source code. The public deployment and repository demonstrate reproducibility, but free-tier instance sleep can increase first-request latency and local SQLite persistence may not be durable across every hosting lifecycle.</w:t>
      </w:r>
    </w:p>
    <w:p>
      <w:pPr>
        <w:pStyle w:val="Heading1"/>
      </w:pPr>
      <w:r>
        <w:rPr>
          <w:rFonts w:ascii="Times New Roman" w:hAnsi="Times New Roman" w:eastAsia="Times New Roman"/>
          <w:b/>
          <w:i w:val="0"/>
          <w:color w:val="000000"/>
          <w:sz w:val="20"/>
        </w:rPr>
        <w:t>V. EXPERIMENTAL SETUP</w:t>
      </w:r>
    </w:p>
    <w:p>
      <w:pPr/>
      <w:r>
        <w:rPr>
          <w:rFonts w:ascii="Times New Roman" w:hAnsi="Times New Roman" w:eastAsia="Times New Roman"/>
          <w:b w:val="0"/>
          <w:i w:val="0"/>
          <w:color w:val="000000"/>
          <w:sz w:val="20"/>
        </w:rPr>
        <w:t>Experiments use the deterministic synthetic dataset and fixed train-test partition described above. Weighted precision, recall, and F1-score are reported to account for class distribution. Accuracy measures the fraction of correct predictions. The disease and risk models are evaluated independently on the same held-out 1,000 records. No test examples are used for fitting.</w:t>
      </w:r>
    </w:p>
    <w:p>
      <w:pPr/>
      <w:r>
        <w:rPr>
          <w:rFonts w:ascii="Times New Roman" w:hAnsi="Times New Roman" w:eastAsia="Times New Roman"/>
          <w:b w:val="0"/>
          <w:i w:val="0"/>
          <w:color w:val="000000"/>
          <w:sz w:val="20"/>
        </w:rPr>
        <w:t>Functional tests additionally submit low-risk routine values, bacterial-like high-WBC/high-CRP values, respiratory-like low-oxygen values, and dengue-like low-platelet values through the deployed prediction page. This verifies request validation, inference, response rendering, and report storage across the end-to-end stack.</w:t>
      </w:r>
    </w:p>
    <w:p>
      <w:pPr>
        <w:pStyle w:val="Heading1"/>
      </w:pPr>
      <w:r>
        <w:rPr>
          <w:rFonts w:ascii="Times New Roman" w:hAnsi="Times New Roman" w:eastAsia="Times New Roman"/>
          <w:b/>
          <w:i w:val="0"/>
          <w:color w:val="000000"/>
          <w:sz w:val="20"/>
        </w:rPr>
        <w:t>VI. RESULTS AND DISCUSSION</w:t>
      </w:r>
    </w:p>
    <w:p>
      <w:pPr>
        <w:keepNext/>
        <w:spacing w:before="40" w:after="60" w:line="240" w:lineRule="auto"/>
        <w:jc w:val="center"/>
      </w:pPr>
      <w:r>
        <w:rPr>
          <w:rFonts w:ascii="Times New Roman" w:hAnsi="Times New Roman" w:eastAsia="Times New Roman"/>
          <w:b w:val="0"/>
          <w:i w:val="0"/>
          <w:color w:val="000000"/>
          <w:sz w:val="16"/>
        </w:rPr>
        <w:t>TABLE III</w:t>
        <w:br/>
        <w:t>HELD-OUT MODEL PERFORMANCE</w:t>
      </w:r>
    </w:p>
    <w:tbl>
      <w:tblPr>
        <w:tblW w:type="dxa" w:w="470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00"/>
        <w:gridCol w:w="900"/>
        <w:gridCol w:w="900"/>
        <w:gridCol w:w="900"/>
        <w:gridCol w:w="900"/>
      </w:tblGrid>
      <w:tr>
        <w:trPr>
          <w:tblHeader w:val="true"/>
          <w:cantSplit/>
        </w:trPr>
        <w:tc>
          <w:tcPr>
            <w:tcW w:type="dxa" w:w="110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Target</w:t>
            </w:r>
          </w:p>
        </w:tc>
        <w:tc>
          <w:tcPr>
            <w:tcW w:type="dxa" w:w="90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Accuracy</w:t>
            </w:r>
          </w:p>
        </w:tc>
        <w:tc>
          <w:tcPr>
            <w:tcW w:type="dxa" w:w="90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Precision</w:t>
            </w:r>
          </w:p>
        </w:tc>
        <w:tc>
          <w:tcPr>
            <w:tcW w:type="dxa" w:w="90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Recall</w:t>
            </w:r>
          </w:p>
        </w:tc>
        <w:tc>
          <w:tcPr>
            <w:tcW w:type="dxa" w:w="90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F1</w:t>
            </w:r>
          </w:p>
        </w:tc>
      </w:tr>
      <w:tr>
        <w:trPr>
          <w:cantSplit/>
        </w:trPr>
        <w:tc>
          <w:tcPr>
            <w:tcW w:type="dxa" w:w="1100"/>
            <w:vAlign w:val="center"/>
          </w:tcPr>
          <w:p>
            <w:pPr>
              <w:spacing w:after="0"/>
              <w:ind w:firstLine="0"/>
              <w:jc w:val="left"/>
            </w:pPr>
            <w:r>
              <w:rPr>
                <w:rFonts w:ascii="Times New Roman" w:hAnsi="Times New Roman" w:eastAsia="Times New Roman"/>
                <w:b w:val="0"/>
                <w:i w:val="0"/>
                <w:color w:val="000000"/>
                <w:sz w:val="16"/>
              </w:rPr>
              <w:t>Disease</w:t>
            </w:r>
          </w:p>
        </w:tc>
        <w:tc>
          <w:tcPr>
            <w:tcW w:type="dxa" w:w="900"/>
            <w:vAlign w:val="center"/>
          </w:tcPr>
          <w:p>
            <w:pPr>
              <w:spacing w:after="0"/>
              <w:ind w:firstLine="0"/>
              <w:jc w:val="center"/>
            </w:pPr>
            <w:r>
              <w:rPr>
                <w:rFonts w:ascii="Times New Roman" w:hAnsi="Times New Roman" w:eastAsia="Times New Roman"/>
                <w:b w:val="0"/>
                <w:i w:val="0"/>
                <w:color w:val="000000"/>
                <w:sz w:val="16"/>
              </w:rPr>
              <w:t>1.0000</w:t>
            </w:r>
          </w:p>
        </w:tc>
        <w:tc>
          <w:tcPr>
            <w:tcW w:type="dxa" w:w="900"/>
            <w:vAlign w:val="center"/>
          </w:tcPr>
          <w:p>
            <w:pPr>
              <w:spacing w:after="0"/>
              <w:ind w:firstLine="0"/>
              <w:jc w:val="center"/>
            </w:pPr>
            <w:r>
              <w:rPr>
                <w:rFonts w:ascii="Times New Roman" w:hAnsi="Times New Roman" w:eastAsia="Times New Roman"/>
                <w:b w:val="0"/>
                <w:i w:val="0"/>
                <w:color w:val="000000"/>
                <w:sz w:val="16"/>
              </w:rPr>
              <w:t>1.0000</w:t>
            </w:r>
          </w:p>
        </w:tc>
        <w:tc>
          <w:tcPr>
            <w:tcW w:type="dxa" w:w="900"/>
            <w:vAlign w:val="center"/>
          </w:tcPr>
          <w:p>
            <w:pPr>
              <w:spacing w:after="0"/>
              <w:ind w:firstLine="0"/>
              <w:jc w:val="center"/>
            </w:pPr>
            <w:r>
              <w:rPr>
                <w:rFonts w:ascii="Times New Roman" w:hAnsi="Times New Roman" w:eastAsia="Times New Roman"/>
                <w:b w:val="0"/>
                <w:i w:val="0"/>
                <w:color w:val="000000"/>
                <w:sz w:val="16"/>
              </w:rPr>
              <w:t>1.0000</w:t>
            </w:r>
          </w:p>
        </w:tc>
        <w:tc>
          <w:tcPr>
            <w:tcW w:type="dxa" w:w="900"/>
            <w:vAlign w:val="center"/>
          </w:tcPr>
          <w:p>
            <w:pPr>
              <w:spacing w:after="0"/>
              <w:ind w:firstLine="0"/>
              <w:jc w:val="center"/>
            </w:pPr>
            <w:r>
              <w:rPr>
                <w:rFonts w:ascii="Times New Roman" w:hAnsi="Times New Roman" w:eastAsia="Times New Roman"/>
                <w:b w:val="0"/>
                <w:i w:val="0"/>
                <w:color w:val="000000"/>
                <w:sz w:val="16"/>
              </w:rPr>
              <w:t>1.0000</w:t>
            </w:r>
          </w:p>
        </w:tc>
      </w:tr>
      <w:tr>
        <w:trPr>
          <w:cantSplit/>
        </w:trPr>
        <w:tc>
          <w:tcPr>
            <w:tcW w:type="dxa" w:w="1100"/>
            <w:vAlign w:val="center"/>
          </w:tcPr>
          <w:p>
            <w:pPr>
              <w:spacing w:after="0"/>
              <w:ind w:firstLine="0"/>
              <w:jc w:val="left"/>
            </w:pPr>
            <w:r>
              <w:rPr>
                <w:rFonts w:ascii="Times New Roman" w:hAnsi="Times New Roman" w:eastAsia="Times New Roman"/>
                <w:b w:val="0"/>
                <w:i w:val="0"/>
                <w:color w:val="000000"/>
                <w:sz w:val="16"/>
              </w:rPr>
              <w:t>Risk</w:t>
            </w:r>
          </w:p>
        </w:tc>
        <w:tc>
          <w:tcPr>
            <w:tcW w:type="dxa" w:w="900"/>
            <w:vAlign w:val="center"/>
          </w:tcPr>
          <w:p>
            <w:pPr>
              <w:spacing w:after="0"/>
              <w:ind w:firstLine="0"/>
              <w:jc w:val="center"/>
            </w:pPr>
            <w:r>
              <w:rPr>
                <w:rFonts w:ascii="Times New Roman" w:hAnsi="Times New Roman" w:eastAsia="Times New Roman"/>
                <w:b w:val="0"/>
                <w:i w:val="0"/>
                <w:color w:val="000000"/>
                <w:sz w:val="16"/>
              </w:rPr>
              <w:t>0.9840</w:t>
            </w:r>
          </w:p>
        </w:tc>
        <w:tc>
          <w:tcPr>
            <w:tcW w:type="dxa" w:w="900"/>
            <w:vAlign w:val="center"/>
          </w:tcPr>
          <w:p>
            <w:pPr>
              <w:spacing w:after="0"/>
              <w:ind w:firstLine="0"/>
              <w:jc w:val="center"/>
            </w:pPr>
            <w:r>
              <w:rPr>
                <w:rFonts w:ascii="Times New Roman" w:hAnsi="Times New Roman" w:eastAsia="Times New Roman"/>
                <w:b w:val="0"/>
                <w:i w:val="0"/>
                <w:color w:val="000000"/>
                <w:sz w:val="16"/>
              </w:rPr>
              <w:t>0.9843</w:t>
            </w:r>
          </w:p>
        </w:tc>
        <w:tc>
          <w:tcPr>
            <w:tcW w:type="dxa" w:w="900"/>
            <w:vAlign w:val="center"/>
          </w:tcPr>
          <w:p>
            <w:pPr>
              <w:spacing w:after="0"/>
              <w:ind w:firstLine="0"/>
              <w:jc w:val="center"/>
            </w:pPr>
            <w:r>
              <w:rPr>
                <w:rFonts w:ascii="Times New Roman" w:hAnsi="Times New Roman" w:eastAsia="Times New Roman"/>
                <w:b w:val="0"/>
                <w:i w:val="0"/>
                <w:color w:val="000000"/>
                <w:sz w:val="16"/>
              </w:rPr>
              <w:t>0.9840</w:t>
            </w:r>
          </w:p>
        </w:tc>
        <w:tc>
          <w:tcPr>
            <w:tcW w:type="dxa" w:w="900"/>
            <w:vAlign w:val="center"/>
          </w:tcPr>
          <w:p>
            <w:pPr>
              <w:spacing w:after="0"/>
              <w:ind w:firstLine="0"/>
              <w:jc w:val="center"/>
            </w:pPr>
            <w:r>
              <w:rPr>
                <w:rFonts w:ascii="Times New Roman" w:hAnsi="Times New Roman" w:eastAsia="Times New Roman"/>
                <w:b w:val="0"/>
                <w:i w:val="0"/>
                <w:color w:val="000000"/>
                <w:sz w:val="16"/>
              </w:rPr>
              <w:t>0.9796</w:t>
            </w:r>
          </w:p>
        </w:tc>
      </w:tr>
    </w:tbl>
    <w:p>
      <w:pPr>
        <w:spacing w:after="0" w:line="240" w:lineRule="auto"/>
      </w:pPr>
    </w:p>
    <w:p>
      <w:pPr/>
      <w:r>
        <w:rPr>
          <w:rFonts w:ascii="Times New Roman" w:hAnsi="Times New Roman" w:eastAsia="Times New Roman"/>
          <w:b w:val="0"/>
          <w:i w:val="0"/>
          <w:color w:val="000000"/>
          <w:sz w:val="20"/>
        </w:rPr>
        <w:t>Table III shows perfect disease-category classification and 98.4% risk accuracy on the held-out synthetic set. The disease result is explained by the data generator: each category receives a fixed symptom phrase and category-specific numeric shifts, creating highly separable classes. Consequently, 1.000 accuracy should not be interpreted as evidence of equivalent performance on noisy, incomplete, or overlapping clinical cases.</w:t>
      </w:r>
    </w:p>
    <w:p>
      <w:pPr/>
      <w:r>
        <w:rPr>
          <w:rFonts w:ascii="Times New Roman" w:hAnsi="Times New Roman" w:eastAsia="Times New Roman"/>
          <w:b w:val="0"/>
          <w:i w:val="0"/>
          <w:color w:val="000000"/>
          <w:sz w:val="20"/>
        </w:rPr>
        <w:t>The risk model's lower F1-score indicates that minority or boundary cases are more difficult even under synthetic labeling. The hybrid layer improves visible responsiveness to clinically recognizable patterns. For example, a demonstration record with WBC 17×10³/µL, CRP 92 mg/L, ESR 58 mm/hr, temperature 39.4 °C, and oxygen saturation 96% returned Bacterial Infection, Medium risk, and a 54.72% outbreak probability. This case confirms that the corrected category logic no longer collapses diverse inputs into one class.</w:t>
      </w:r>
    </w:p>
    <w:p>
      <w:pPr>
        <w:keepNext/>
        <w:spacing w:before="40" w:after="60" w:line="240" w:lineRule="auto"/>
        <w:jc w:val="center"/>
      </w:pPr>
      <w:r>
        <w:rPr>
          <w:rFonts w:ascii="Times New Roman" w:hAnsi="Times New Roman" w:eastAsia="Times New Roman"/>
          <w:b w:val="0"/>
          <w:i w:val="0"/>
          <w:color w:val="000000"/>
          <w:sz w:val="16"/>
        </w:rPr>
        <w:t>TABLE IV</w:t>
        <w:br/>
        <w:t>EXAMPLE END-TO-END OUTPUT</w:t>
      </w:r>
    </w:p>
    <w:tbl>
      <w:tblPr>
        <w:tblW w:type="dxa" w:w="470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2900"/>
      </w:tblGrid>
      <w:tr>
        <w:trPr>
          <w:tblHeader w:val="true"/>
          <w:cantSplit/>
        </w:trPr>
        <w:tc>
          <w:tcPr>
            <w:tcW w:type="dxa" w:w="180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Field</w:t>
            </w:r>
          </w:p>
        </w:tc>
        <w:tc>
          <w:tcPr>
            <w:tcW w:type="dxa" w:w="2900"/>
            <w:tcMar>
              <w:top w:w="55" w:type="dxa"/>
              <w:start w:w="70" w:type="dxa"/>
              <w:bottom w:w="55" w:type="dxa"/>
              <w:end w:w="70" w:type="dxa"/>
            </w:tcMar>
            <w:shd w:fill="E6E6E6"/>
            <w:vAlign w:val="center"/>
          </w:tcPr>
          <w:p>
            <w:pPr>
              <w:spacing w:after="0"/>
              <w:ind w:firstLine="0"/>
              <w:jc w:val="center"/>
            </w:pPr>
            <w:r>
              <w:rPr>
                <w:rFonts w:ascii="Times New Roman" w:hAnsi="Times New Roman" w:eastAsia="Times New Roman"/>
                <w:b/>
                <w:i w:val="0"/>
                <w:color w:val="000000"/>
                <w:sz w:val="16"/>
              </w:rPr>
              <w:t>Value</w:t>
            </w:r>
          </w:p>
        </w:tc>
      </w:tr>
      <w:tr>
        <w:trPr>
          <w:cantSplit/>
        </w:trPr>
        <w:tc>
          <w:tcPr>
            <w:tcW w:type="dxa" w:w="1800"/>
            <w:vAlign w:val="center"/>
          </w:tcPr>
          <w:p>
            <w:pPr>
              <w:spacing w:after="0"/>
              <w:ind w:firstLine="0"/>
              <w:jc w:val="left"/>
            </w:pPr>
            <w:r>
              <w:rPr>
                <w:rFonts w:ascii="Times New Roman" w:hAnsi="Times New Roman" w:eastAsia="Times New Roman"/>
                <w:b w:val="0"/>
                <w:i w:val="0"/>
                <w:color w:val="000000"/>
                <w:sz w:val="16"/>
              </w:rPr>
              <w:t>Key inputs</w:t>
            </w:r>
          </w:p>
        </w:tc>
        <w:tc>
          <w:tcPr>
            <w:tcW w:type="dxa" w:w="2900"/>
            <w:vAlign w:val="center"/>
          </w:tcPr>
          <w:p>
            <w:pPr>
              <w:spacing w:after="0"/>
              <w:ind w:firstLine="0"/>
              <w:jc w:val="center"/>
            </w:pPr>
            <w:r>
              <w:rPr>
                <w:rFonts w:ascii="Times New Roman" w:hAnsi="Times New Roman" w:eastAsia="Times New Roman"/>
                <w:b w:val="0"/>
                <w:i w:val="0"/>
                <w:color w:val="000000"/>
                <w:sz w:val="16"/>
              </w:rPr>
              <w:t>WBC 17; CRP 92; ESR 58; Temp. 39.4</w:t>
            </w:r>
          </w:p>
        </w:tc>
      </w:tr>
      <w:tr>
        <w:trPr>
          <w:cantSplit/>
        </w:trPr>
        <w:tc>
          <w:tcPr>
            <w:tcW w:type="dxa" w:w="1800"/>
            <w:vAlign w:val="center"/>
          </w:tcPr>
          <w:p>
            <w:pPr>
              <w:spacing w:after="0"/>
              <w:ind w:firstLine="0"/>
              <w:jc w:val="left"/>
            </w:pPr>
            <w:r>
              <w:rPr>
                <w:rFonts w:ascii="Times New Roman" w:hAnsi="Times New Roman" w:eastAsia="Times New Roman"/>
                <w:b w:val="0"/>
                <w:i w:val="0"/>
                <w:color w:val="000000"/>
                <w:sz w:val="16"/>
              </w:rPr>
              <w:t>Predicted category</w:t>
            </w:r>
          </w:p>
        </w:tc>
        <w:tc>
          <w:tcPr>
            <w:tcW w:type="dxa" w:w="2900"/>
            <w:vAlign w:val="center"/>
          </w:tcPr>
          <w:p>
            <w:pPr>
              <w:spacing w:after="0"/>
              <w:ind w:firstLine="0"/>
              <w:jc w:val="center"/>
            </w:pPr>
            <w:r>
              <w:rPr>
                <w:rFonts w:ascii="Times New Roman" w:hAnsi="Times New Roman" w:eastAsia="Times New Roman"/>
                <w:b w:val="0"/>
                <w:i w:val="0"/>
                <w:color w:val="000000"/>
                <w:sz w:val="16"/>
              </w:rPr>
              <w:t>Bacterial Infection</w:t>
            </w:r>
          </w:p>
        </w:tc>
      </w:tr>
      <w:tr>
        <w:trPr>
          <w:cantSplit/>
        </w:trPr>
        <w:tc>
          <w:tcPr>
            <w:tcW w:type="dxa" w:w="1800"/>
            <w:vAlign w:val="center"/>
          </w:tcPr>
          <w:p>
            <w:pPr>
              <w:spacing w:after="0"/>
              <w:ind w:firstLine="0"/>
              <w:jc w:val="left"/>
            </w:pPr>
            <w:r>
              <w:rPr>
                <w:rFonts w:ascii="Times New Roman" w:hAnsi="Times New Roman" w:eastAsia="Times New Roman"/>
                <w:b w:val="0"/>
                <w:i w:val="0"/>
                <w:color w:val="000000"/>
                <w:sz w:val="16"/>
              </w:rPr>
              <w:t>Risk level</w:t>
            </w:r>
          </w:p>
        </w:tc>
        <w:tc>
          <w:tcPr>
            <w:tcW w:type="dxa" w:w="2900"/>
            <w:vAlign w:val="center"/>
          </w:tcPr>
          <w:p>
            <w:pPr>
              <w:spacing w:after="0"/>
              <w:ind w:firstLine="0"/>
              <w:jc w:val="center"/>
            </w:pPr>
            <w:r>
              <w:rPr>
                <w:rFonts w:ascii="Times New Roman" w:hAnsi="Times New Roman" w:eastAsia="Times New Roman"/>
                <w:b w:val="0"/>
                <w:i w:val="0"/>
                <w:color w:val="000000"/>
                <w:sz w:val="16"/>
              </w:rPr>
              <w:t>Medium</w:t>
            </w:r>
          </w:p>
        </w:tc>
      </w:tr>
      <w:tr>
        <w:trPr>
          <w:cantSplit/>
        </w:trPr>
        <w:tc>
          <w:tcPr>
            <w:tcW w:type="dxa" w:w="1800"/>
            <w:vAlign w:val="center"/>
          </w:tcPr>
          <w:p>
            <w:pPr>
              <w:spacing w:after="0"/>
              <w:ind w:firstLine="0"/>
              <w:jc w:val="left"/>
            </w:pPr>
            <w:r>
              <w:rPr>
                <w:rFonts w:ascii="Times New Roman" w:hAnsi="Times New Roman" w:eastAsia="Times New Roman"/>
                <w:b w:val="0"/>
                <w:i w:val="0"/>
                <w:color w:val="000000"/>
                <w:sz w:val="16"/>
              </w:rPr>
              <w:t>Probability</w:t>
            </w:r>
          </w:p>
        </w:tc>
        <w:tc>
          <w:tcPr>
            <w:tcW w:type="dxa" w:w="2900"/>
            <w:vAlign w:val="center"/>
          </w:tcPr>
          <w:p>
            <w:pPr>
              <w:spacing w:after="0"/>
              <w:ind w:firstLine="0"/>
              <w:jc w:val="center"/>
            </w:pPr>
            <w:r>
              <w:rPr>
                <w:rFonts w:ascii="Times New Roman" w:hAnsi="Times New Roman" w:eastAsia="Times New Roman"/>
                <w:b w:val="0"/>
                <w:i w:val="0"/>
                <w:color w:val="000000"/>
                <w:sz w:val="16"/>
              </w:rPr>
              <w:t>54.72%</w:t>
            </w:r>
          </w:p>
        </w:tc>
      </w:tr>
    </w:tbl>
    <w:p>
      <w:pPr>
        <w:spacing w:after="0" w:line="240" w:lineRule="auto"/>
      </w:pPr>
    </w:p>
    <w:p>
      <w:pPr/>
      <w:r>
        <w:rPr>
          <w:rFonts w:ascii="Times New Roman" w:hAnsi="Times New Roman" w:eastAsia="Times New Roman"/>
          <w:b w:val="0"/>
          <w:i w:val="0"/>
          <w:color w:val="000000"/>
          <w:sz w:val="20"/>
        </w:rPr>
        <w:t>The dashboard, analytics charts, report history, and chatbot complete the intended functional requirements. Because the output probability is a designed blend rather than a statistically calibrated outbreak prevalence, it should be described as a prototype score. Calibration with epidemiological labels and regional case counts is necessary before the term probability can carry operational public-health meaning.</w:t>
      </w:r>
    </w:p>
    <w:p>
      <w:pPr>
        <w:pStyle w:val="Heading1"/>
      </w:pPr>
      <w:r>
        <w:rPr>
          <w:rFonts w:ascii="Times New Roman" w:hAnsi="Times New Roman" w:eastAsia="Times New Roman"/>
          <w:b/>
          <w:i w:val="0"/>
          <w:color w:val="000000"/>
          <w:sz w:val="20"/>
        </w:rPr>
        <w:t>VII. LIMITATIONS AND ETHICAL CONSIDERATIONS</w:t>
      </w:r>
    </w:p>
    <w:p>
      <w:pPr/>
      <w:r>
        <w:rPr>
          <w:rFonts w:ascii="Times New Roman" w:hAnsi="Times New Roman" w:eastAsia="Times New Roman"/>
          <w:b w:val="0"/>
          <w:i w:val="0"/>
          <w:color w:val="000000"/>
          <w:sz w:val="20"/>
        </w:rPr>
        <w:t>The primary limitation is synthetic data. The generator cannot reproduce measurement error, missing values, comorbidities, medication effects, demographic imbalance, disease co-occurrence, laboratory reference-range variation, or temporal and geographic clustering. The five broad categories are not formal diagnoses, and a single patient record cannot establish an outbreak. The system has not undergone external validation, prospective testing, clinician review, probability calibration, fairness analysis, or regulatory assessment.</w:t>
      </w:r>
    </w:p>
    <w:p>
      <w:pPr/>
      <w:r>
        <w:rPr>
          <w:rFonts w:ascii="Times New Roman" w:hAnsi="Times New Roman" w:eastAsia="Times New Roman"/>
          <w:b w:val="0"/>
          <w:i w:val="0"/>
          <w:color w:val="000000"/>
          <w:sz w:val="20"/>
        </w:rPr>
        <w:t>Ethical deployment would require de-identification, explicit consent or lawful public-health authority, access control, encryption, retention policies, audit logs, subgroup performance reporting, and clinical governance. Human review must remain authoritative. Emergency warnings should be localized to the user's jurisdiction, and the chatbot must never replace professional evaluation. These safeguards are reflected in the prototype's disclaimers but are not fully implemented as production controls.</w:t>
      </w:r>
    </w:p>
    <w:p>
      <w:pPr>
        <w:pStyle w:val="Heading1"/>
      </w:pPr>
      <w:r>
        <w:rPr>
          <w:rFonts w:ascii="Times New Roman" w:hAnsi="Times New Roman" w:eastAsia="Times New Roman"/>
          <w:b/>
          <w:i w:val="0"/>
          <w:color w:val="000000"/>
          <w:sz w:val="20"/>
        </w:rPr>
        <w:t>VIII. CONCLUSION AND FUTURE WORK</w:t>
      </w:r>
    </w:p>
    <w:p>
      <w:pPr/>
      <w:r>
        <w:rPr>
          <w:rFonts w:ascii="Times New Roman" w:hAnsi="Times New Roman" w:eastAsia="Times New Roman"/>
          <w:b w:val="0"/>
          <w:i w:val="0"/>
          <w:color w:val="000000"/>
          <w:sz w:val="20"/>
        </w:rPr>
        <w:t>This paper presented OutbreakAI, a complete web-based disease-outbreak decision-support prototype integrating laboratory data, symptom text, Random Forest models, transparent severity rules, analytics, reports, and a general consultation chatbot. The implementation demonstrates that heterogeneous inputs can be processed and served through a responsive, deployable architecture. Held-out synthetic results were strong, but their interpretation is deliberately limited to pipeline feasibility.</w:t>
      </w:r>
    </w:p>
    <w:p>
      <w:pPr/>
      <w:r>
        <w:rPr>
          <w:rFonts w:ascii="Times New Roman" w:hAnsi="Times New Roman" w:eastAsia="Times New Roman"/>
          <w:b w:val="0"/>
          <w:i w:val="0"/>
          <w:color w:val="000000"/>
          <w:sz w:val="20"/>
        </w:rPr>
        <w:t>Future work should replace synthetic labels with de-identified, expert-annotated multicenter data; introduce missing-data handling and uncertainty intervals; calibrate probabilities; evaluate temporal and geographic forecasting; compare Random Forest with gradient boosting and sequence models; add explainability using SHAP; and conduct fairness, usability, security, and prospective clinical studies. A population-level forecasting module should incorporate case counts and time windows rather than inferring outbreaks from isolated records.</w:t>
      </w:r>
    </w:p>
    <w:p>
      <w:pPr>
        <w:pStyle w:val="Heading1"/>
      </w:pPr>
      <w:r>
        <w:rPr>
          <w:rFonts w:ascii="Times New Roman" w:hAnsi="Times New Roman" w:eastAsia="Times New Roman"/>
          <w:b/>
          <w:i w:val="0"/>
          <w:color w:val="000000"/>
          <w:sz w:val="20"/>
        </w:rPr>
        <w:t>REFERENCES</w:t>
      </w:r>
    </w:p>
    <w:p>
      <w:pPr>
        <w:spacing w:after="20" w:line="240" w:lineRule="auto"/>
        <w:ind w:left="259" w:hanging="259"/>
      </w:pPr>
      <w:r>
        <w:rPr>
          <w:rFonts w:ascii="Times New Roman" w:hAnsi="Times New Roman" w:eastAsia="Times New Roman"/>
          <w:b w:val="0"/>
          <w:i w:val="0"/>
          <w:color w:val="000000"/>
          <w:sz w:val="16"/>
        </w:rPr>
        <w:t>[1] World Health Organization, WHO Recommended Surveillance Standards, 2nd ed. Geneva, Switzerland: WHO, 1999.</w:t>
      </w:r>
    </w:p>
    <w:p>
      <w:pPr>
        <w:spacing w:after="20" w:line="240" w:lineRule="auto"/>
        <w:ind w:left="259" w:hanging="259"/>
      </w:pPr>
      <w:r>
        <w:rPr>
          <w:rFonts w:ascii="Times New Roman" w:hAnsi="Times New Roman" w:eastAsia="Times New Roman"/>
          <w:b w:val="0"/>
          <w:i w:val="0"/>
          <w:color w:val="000000"/>
          <w:sz w:val="16"/>
        </w:rPr>
        <w:t>[2] World Health Organization Regional Office for the Eastern Mediterranean, “Early Warning, Alert and Response Network (EWARN),” [Online]. Available: https://www.emro.who.int/health-topics/ewarn/. Accessed: Jun. 27, 2026.</w:t>
      </w:r>
    </w:p>
    <w:p>
      <w:pPr>
        <w:spacing w:after="20" w:line="240" w:lineRule="auto"/>
        <w:ind w:left="259" w:hanging="259"/>
      </w:pPr>
      <w:r>
        <w:rPr>
          <w:rFonts w:ascii="Times New Roman" w:hAnsi="Times New Roman" w:eastAsia="Times New Roman"/>
          <w:b w:val="0"/>
          <w:i w:val="0"/>
          <w:color w:val="000000"/>
          <w:sz w:val="16"/>
        </w:rPr>
        <w:t>[3] L. Breiman, “Random forests,” Machine Learning, vol. 45, no. 1, pp. 5–32, 2001, doi: 10.1023/A:1010933404324.</w:t>
      </w:r>
    </w:p>
    <w:p>
      <w:pPr>
        <w:spacing w:after="20" w:line="240" w:lineRule="auto"/>
        <w:ind w:left="259" w:hanging="259"/>
      </w:pPr>
      <w:r>
        <w:rPr>
          <w:rFonts w:ascii="Times New Roman" w:hAnsi="Times New Roman" w:eastAsia="Times New Roman"/>
          <w:b w:val="0"/>
          <w:i w:val="0"/>
          <w:color w:val="000000"/>
          <w:sz w:val="16"/>
        </w:rPr>
        <w:t>[4] Scikit-learn Developers, “RandomForestClassifier,” scikit-learn documentation, [Online]. Available: https://scikit-learn.org/stable/modules/generated/sklearn.ensemble.RandomForestClassifier.html. Accessed: Jun. 27, 2026.</w:t>
      </w:r>
    </w:p>
    <w:p>
      <w:pPr>
        <w:spacing w:after="20" w:line="240" w:lineRule="auto"/>
        <w:ind w:left="259" w:hanging="259"/>
      </w:pPr>
      <w:r>
        <w:rPr>
          <w:rFonts w:ascii="Times New Roman" w:hAnsi="Times New Roman" w:eastAsia="Times New Roman"/>
          <w:b w:val="0"/>
          <w:i w:val="0"/>
          <w:color w:val="000000"/>
          <w:sz w:val="16"/>
        </w:rPr>
        <w:t>[5] F. Pedregosa et al., “Scikit-learn: Machine learning in Python,” Journal of Machine Learning Research, vol. 12, pp. 2825–2830, 2011.</w:t>
      </w:r>
    </w:p>
    <w:p>
      <w:pPr>
        <w:spacing w:after="20" w:line="240" w:lineRule="auto"/>
        <w:ind w:left="259" w:hanging="259"/>
      </w:pPr>
      <w:r>
        <w:rPr>
          <w:rFonts w:ascii="Times New Roman" w:hAnsi="Times New Roman" w:eastAsia="Times New Roman"/>
          <w:b w:val="0"/>
          <w:i w:val="0"/>
          <w:color w:val="000000"/>
          <w:sz w:val="16"/>
        </w:rPr>
        <w:t>[6] FastAPI, “CORS (Cross-Origin Resource Sharing),” [Online]. Available: https://fastapi.tiangolo.com/tutorial/cors/. Accessed: Jun. 27, 2026.</w:t>
      </w:r>
    </w:p>
    <w:p>
      <w:pPr>
        <w:spacing w:after="20" w:line="240" w:lineRule="auto"/>
        <w:ind w:left="259" w:hanging="259"/>
      </w:pPr>
      <w:r>
        <w:rPr>
          <w:rFonts w:ascii="Times New Roman" w:hAnsi="Times New Roman" w:eastAsia="Times New Roman"/>
          <w:b w:val="0"/>
          <w:i w:val="0"/>
          <w:color w:val="000000"/>
          <w:sz w:val="16"/>
        </w:rPr>
        <w:t>[7] SQLite Consortium, “About SQLite,” [Online]. Available: https://www.sqlite.org/about.html. Accessed: Jun. 27, 2026.</w:t>
      </w:r>
    </w:p>
    <w:p>
      <w:pPr>
        <w:spacing w:after="20" w:line="240" w:lineRule="auto"/>
        <w:ind w:left="259" w:hanging="259"/>
      </w:pPr>
      <w:r>
        <w:rPr>
          <w:rFonts w:ascii="Times New Roman" w:hAnsi="Times New Roman" w:eastAsia="Times New Roman"/>
          <w:b w:val="0"/>
          <w:i w:val="0"/>
          <w:color w:val="000000"/>
          <w:sz w:val="16"/>
        </w:rPr>
        <w:t>[8] React Team, “React Quick Start,” [Online]. Available: https://react.dev/learn. Accessed: Jun. 27, 2026.</w:t>
      </w:r>
    </w:p>
    <w:p>
      <w:pPr>
        <w:spacing w:after="20" w:line="240" w:lineRule="auto"/>
        <w:ind w:left="259" w:hanging="259"/>
      </w:pPr>
      <w:r>
        <w:rPr>
          <w:rFonts w:ascii="Times New Roman" w:hAnsi="Times New Roman" w:eastAsia="Times New Roman"/>
          <w:b w:val="0"/>
          <w:i w:val="0"/>
          <w:color w:val="000000"/>
          <w:sz w:val="16"/>
        </w:rPr>
        <w:t>[9] W. McKinney, “Data structures for statistical computing in Python,” in Proc. 9th Python in Science Conf., Austin, TX, USA, 2010, pp. 56–61.</w:t>
      </w:r>
    </w:p>
    <w:sectPr w:rsidR="00FC693F" w:rsidRPr="0006063C" w:rsidSect="00034616">
      <w:type w:val="continuous"/>
      <w:pgSz w:w="11906" w:h="16838"/>
      <w:pgMar w:top="1080" w:right="900" w:bottom="1440" w:left="900" w:header="432" w:footer="576"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ind w:firstLine="202"/>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line="240" w:lineRule="auto"/>
      <w:jc w:val="center"/>
      <w:outlineLvl w:val="0"/>
    </w:pPr>
    <w:rPr>
      <w:rFonts w:asciiTheme="majorHAnsi" w:eastAsiaTheme="majorEastAsia" w:hAnsiTheme="majorHAnsi" w:cstheme="majorBidi" w:ascii="Times New Roman" w:hAnsi="Times New Roman"/>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80" w:after="20" w:line="240" w:lineRule="auto"/>
      <w:jc w:val="left"/>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60" w:after="20" w:line="240" w:lineRule="auto"/>
      <w:outlineLvl w:val="2"/>
    </w:pPr>
    <w:rPr>
      <w:rFonts w:asciiTheme="majorHAnsi" w:eastAsiaTheme="majorEastAsia" w:hAnsiTheme="majorHAnsi" w:cstheme="majorBidi" w:ascii="Times New Roman" w:hAnsi="Times New Roman"/>
      <w:b w:val="0"/>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Disease Outbreak Prediction Using Laboratory Test Data</dc:title>
  <dc:subject>IEEE-style final-year project research paper</dc:subject>
  <dc:creator>Harshal Gulabrao Waghe</dc:creator>
  <cp:keywords>outbreak prediction, Random Forest, laboratory data, FastAPI, chatbot</cp:keywords>
  <dc:description>generated by python-docx</dc:description>
  <cp:lastModifiedBy/>
  <cp:revision>1</cp:revision>
  <dcterms:created xsi:type="dcterms:W3CDTF">2013-12-23T23:15:00Z</dcterms:created>
  <dcterms:modified xsi:type="dcterms:W3CDTF">2013-12-23T23:15:00Z</dcterms:modified>
  <cp:category/>
</cp:coreProperties>
</file>