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Grievance Policy</w:t>
      </w:r>
    </w:p>
    <w:p>
      <w:pPr>
        <w:spacing w:after="100"/>
        <w:jc w:val="center"/>
      </w:pPr>
      <w:r>
        <w:rPr>
          <w:color w:val="666666"/>
          <w:sz w:val="20"/>
          <w:szCs w:val="20"/>
        </w:rPr>
        <w:t xml:space="preserve">Department for Work and Pensions | January 2024</w:t>
      </w:r>
    </w:p>
    <w:p>
      <w:pPr>
        <w:spacing w:after="100"/>
        <w:jc w:val="center"/>
      </w:pPr>
      <w:r>
        <w:rPr>
          <w:color w:val="666666"/>
          <w:sz w:val="20"/>
          <w:szCs w:val="20"/>
        </w:rPr>
        <w:t xml:space="preserve">Document control: Version 5.0 | Owner: Employee Relations Team</w:t>
      </w:r>
    </w:p>
    <w:p>
      <w:pPr>
        <w:spacing w:after="100"/>
        <w:jc w:val="center"/>
      </w:pPr>
      <w:r>
        <w:rPr>
          <w:color w:val="666666"/>
          <w:sz w:val="20"/>
          <w:szCs w:val="20"/>
        </w:rPr>
        <w:t xml:space="preserve">Approval: DWP People Committee, 8 January 2024 | Review date: January 2026</w:t>
      </w:r>
    </w:p>
    <w:p>
      <w:pPr>
        <w:spacing w:after="100"/>
      </w:pPr>
    </w:p>
    <w:p>
      <w:pPr>
        <w:pStyle w:val="Heading1"/>
      </w:pPr>
      <w:r>
        <w:t xml:space="preserve">1. Introduction</w:t>
      </w:r>
    </w:p>
    <w:p>
      <w:r>
        <w:t xml:space="preserve">This policy provides a framework for employees to raise and resolve workplace grievances. It applies to all DWP employees.</w:t>
      </w:r>
    </w:p>
    <w:p>
      <w:pPr>
        <w:pStyle w:val="Heading1"/>
      </w:pPr>
      <w:r>
        <w:t xml:space="preserve">2. Informal resolution</w:t>
      </w:r>
    </w:p>
    <w:p>
      <w:r>
        <w:t xml:space="preserve">Employees are encouraged to resolve concerns informally where possible. This may involve:</w:t>
      </w:r>
    </w:p>
    <w:p>
      <w:pPr>
        <w:pStyle w:val="ListParagraph"/>
        <w:numPr>
          <w:ilvl w:val="0"/>
          <w:numId w:val="2"/>
        </w:numPr>
      </w:pPr>
      <w:r>
        <w:rPr>
          <w:sz w:val="22"/>
          <w:szCs w:val="22"/>
        </w:rPr>
        <w:t xml:space="preserve">Discussing the issue with their line manager</w:t>
      </w:r>
    </w:p>
    <w:p>
      <w:pPr>
        <w:pStyle w:val="ListParagraph"/>
        <w:numPr>
          <w:ilvl w:val="0"/>
          <w:numId w:val="2"/>
        </w:numPr>
      </w:pPr>
      <w:r>
        <w:rPr>
          <w:sz w:val="22"/>
          <w:szCs w:val="22"/>
        </w:rPr>
        <w:t xml:space="preserve">Seeking support from a trade union representative</w:t>
      </w:r>
    </w:p>
    <w:p>
      <w:pPr>
        <w:pStyle w:val="ListParagraph"/>
        <w:numPr>
          <w:ilvl w:val="0"/>
          <w:numId w:val="2"/>
        </w:numPr>
      </w:pPr>
      <w:r>
        <w:rPr>
          <w:sz w:val="22"/>
          <w:szCs w:val="22"/>
        </w:rPr>
        <w:t xml:space="preserve">Using the mediation service</w:t>
      </w:r>
    </w:p>
    <w:p>
      <w:pPr>
        <w:pStyle w:val="Heading1"/>
      </w:pPr>
      <w:r>
        <w:t xml:space="preserve">3. Formal process</w:t>
      </w:r>
    </w:p>
    <w:p>
      <w:r>
        <w:t xml:space="preserve">If informal resolution is not possible or appropriate, employees may submit a formal grievance.</w:t>
      </w:r>
    </w:p>
    <w:p>
      <w:r>
        <w:t xml:space="preserve"/>
      </w:r>
      <w:r>
        <w:rPr>
          <w:b/>
          <w:bCs/>
        </w:rPr>
        <w:t xml:space="preserve">Step 1: Written submission</w:t>
      </w:r>
      <w:r>
        <w:t xml:space="preserve"> — The employee submits a written grievance to their line manager (or their manager’s manager if the grievance is about the line manager).</w:t>
      </w:r>
    </w:p>
    <w:p>
      <w:r>
        <w:t xml:space="preserve"/>
      </w:r>
      <w:r>
        <w:rPr>
          <w:b/>
          <w:bCs/>
        </w:rPr>
        <w:t xml:space="preserve">Step 2: Investigation</w:t>
      </w:r>
      <w:r>
        <w:t xml:space="preserve"> — A grievance hearing will be arranged within 15 working days. The employee may be accompanied by a trade union representative or a work colleague.</w:t>
      </w:r>
    </w:p>
    <w:p>
      <w:r>
        <w:t xml:space="preserve"/>
      </w:r>
      <w:r>
        <w:rPr>
          <w:b/>
          <w:bCs/>
        </w:rPr>
        <w:t xml:space="preserve">Step 3: Decision</w:t>
      </w:r>
      <w:r>
        <w:t xml:space="preserve"> — A written decision will be provided within 10 working days of the hearing.</w:t>
      </w:r>
    </w:p>
    <w:p>
      <w:r>
        <w:t xml:space="preserve"/>
      </w:r>
      <w:r>
        <w:rPr>
          <w:b/>
          <w:bCs/>
        </w:rPr>
        <w:t xml:space="preserve">Step 4: Appeal</w:t>
      </w:r>
      <w:r>
        <w:t xml:space="preserve"> — If the employee is not satisfied with the outcome, they may appeal in writing within 10 working days. The appeal will be heard by a manager at least one grade higher than the original decision maker.</w:t>
      </w:r>
    </w:p>
    <w:p>
      <w:pPr>
        <w:pStyle w:val="Heading1"/>
      </w:pPr>
      <w:r>
        <w:t xml:space="preserve">4. Timescales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Stage</w:t>
            </w:r>
          </w:p>
        </w:tc>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Timeframe</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Informal discussion</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No formal time limit, but should be prompt</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Formal submission to hearing</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15 working days</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Hearing to written decision</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10 working days</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Appeal submission</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10 working days from decision</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Appeal hearing</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15 working days from appeal submission</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Appeal decision</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10 working days from appeal hearing</w:t>
            </w:r>
          </w:p>
        </w:tc>
      </w:tr>
    </w:tbl>
    <w:p>
      <w:pPr>
        <w:spacing w:after="100"/>
      </w:pPr>
    </w:p>
    <w:p>
      <w:pPr>
        <w:pStyle w:val="Heading1"/>
      </w:pPr>
      <w:r>
        <w:t xml:space="preserve">5. Overlapping processes</w:t>
      </w:r>
    </w:p>
    <w:p>
      <w:r>
        <w:t xml:space="preserve">Where a grievance overlaps with a disciplinary process, the disciplinary process will normally take precedence. The grievance will be paused and resumed after the disciplinary outcome. Exceptions may be made where the grievance is directly related to the disciplinary action.</w:t>
      </w:r>
    </w:p>
    <w:p>
      <w:pPr>
        <w:pStyle w:val="Heading1"/>
      </w:pPr>
      <w:r>
        <w:t xml:space="preserve">6. Support</w:t>
      </w:r>
    </w:p>
    <w:p>
      <w:r>
        <w:t xml:space="preserve">Employees involved in a grievance process can access:</w:t>
      </w:r>
    </w:p>
    <w:p>
      <w:pPr>
        <w:pStyle w:val="ListParagraph"/>
        <w:numPr>
          <w:ilvl w:val="0"/>
          <w:numId w:val="2"/>
        </w:numPr>
      </w:pPr>
      <w:r>
        <w:rPr>
          <w:sz w:val="22"/>
          <w:szCs w:val="22"/>
        </w:rPr>
        <w:t xml:space="preserve">Employee Assistance Programme (EAP): 0800 XXX XXXX (24/7)</w:t>
      </w:r>
    </w:p>
    <w:p>
      <w:pPr>
        <w:pStyle w:val="ListParagraph"/>
        <w:numPr>
          <w:ilvl w:val="0"/>
          <w:numId w:val="2"/>
        </w:numPr>
      </w:pPr>
      <w:r>
        <w:rPr>
          <w:sz w:val="22"/>
          <w:szCs w:val="22"/>
        </w:rPr>
        <w:t xml:space="preserve">Trade union representation</w:t>
      </w:r>
    </w:p>
    <w:p>
      <w:pPr>
        <w:pStyle w:val="ListParagraph"/>
        <w:numPr>
          <w:ilvl w:val="0"/>
          <w:numId w:val="2"/>
        </w:numPr>
      </w:pPr>
      <w:r>
        <w:rPr>
          <w:sz w:val="22"/>
          <w:szCs w:val="22"/>
        </w:rPr>
        <w:t xml:space="preserve">HR casework advice: hrcase@dwp.gov.uk</w:t>
      </w:r>
    </w:p>
    <w:p>
      <w:pPr>
        <w:pStyle w:val="Heading1"/>
      </w:pPr>
      <w:r>
        <w:t xml:space="preserve">7. Monitoring</w:t>
      </w:r>
    </w:p>
    <w:p>
      <w:r>
        <w:t xml:space="preserve">The Employee Relations team produces quarterly reports on grievance volumes, outcomes, and timescales. These are reported to the People Committee.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2026-04-14T09:02:53.725Z</dcterms:created>
  <dcterms:modified xsi:type="dcterms:W3CDTF">2026-04-14T09:02:53.725Z</dcterms:modified>
</cp:coreProperties>
</file>

<file path=docProps/custom.xml><?xml version="1.0" encoding="utf-8"?>
<Properties xmlns="http://schemas.openxmlformats.org/officeDocument/2006/custom-properties" xmlns:vt="http://schemas.openxmlformats.org/officeDocument/2006/docPropsVTypes"/>
</file>