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ind w:left="720"/>
      </w:pPr>
      <w:r>
        <w:rPr>
          <w:i/>
          <w:iCs/>
          <w:color w:val="CC0000"/>
          <w:sz w:val="18"/>
          <w:szCs w:val="18"/>
        </w:rPr>
        <w:t xml:space="preserve">DRAFT — NOT FOR DISTRIBUTION</w:t>
      </w: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Information Security Policy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Version 0.8 — DRAFT | February 2024</w:t>
      </w:r>
    </w:p>
    <w:p>
      <w:r>
        <w:t xml:space="preserve">This document is a draft and has not been approved for publication. Do not distribute outside the Information Security team.</w:t>
      </w:r>
    </w:p>
    <w:p>
      <w:pPr>
        <w:pStyle w:val="Heading1"/>
      </w:pPr>
      <w:r>
        <w:t xml:space="preserve">1. Introduction</w:t>
      </w:r>
    </w:p>
    <w:p>
      <w:r>
        <w:t xml:space="preserve">This policy establishes the information security requirements for all DWP systems, data, and personnel. It replaces the Information Security Policy v4.1 (June 2022).</w:t>
      </w:r>
    </w:p>
    <w:p>
      <w:pPr>
        <w:spacing w:after="100"/>
        <w:ind w:left="720"/>
      </w:pPr>
      <w:r>
        <w:rPr>
          <w:i/>
          <w:iCs/>
          <w:color w:val="CC0000"/>
          <w:sz w:val="18"/>
          <w:szCs w:val="18"/>
        </w:rPr>
        <w:t xml:space="preserve">[REVIEWERS NOTE: Section 2 needs legal review before publication. The DPIA requirements may conflict with the updated UK GDPR guidance from ICO published in January 2024.]</w:t>
      </w:r>
    </w:p>
    <w:p>
      <w:pPr>
        <w:pStyle w:val="Heading1"/>
      </w:pPr>
      <w:r>
        <w:t xml:space="preserve">2. Classification</w:t>
      </w:r>
    </w:p>
    <w:p>
      <w:r>
        <w:t xml:space="preserve">All information must be classified according to the Government Security Classifications policy: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OFFICIAL: The majority of government information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SECRET: Very sensitive information requiring enhanced protection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TOP SECRET: The most sensitive information</w:t>
      </w:r>
    </w:p>
    <w:p>
      <w:r>
        <w:t xml:space="preserve">Within OFFICIAL, the marking OFFICIAL-SENSITIVE may be applied where there is a need to enforce need-to-know.</w:t>
      </w:r>
    </w:p>
    <w:p>
      <w:pPr>
        <w:pStyle w:val="Heading1"/>
      </w:pPr>
      <w:r>
        <w:t xml:space="preserve">3. Access Control</w:t>
      </w:r>
    </w:p>
    <w:p>
      <w:r>
        <w:t xml:space="preserve">Access to departmental systems must follow the principle of least privilege. Users should only have access to the systems and data they need for their current role.</w:t>
      </w:r>
    </w:p>
    <w:p>
      <w:pPr>
        <w:pStyle w:val="Heading2"/>
      </w:pPr>
      <w:r>
        <w:t xml:space="preserve">3.1 Passwords</w:t>
      </w:r>
    </w:p>
    <w:p>
      <w:r>
        <w:t xml:space="preserve">Minimum length: 12 characters</w:t>
      </w:r>
    </w:p>
    <w:p>
      <w:r>
        <w:t xml:space="preserve">Complexity: Must include uppercase, lowercase, numbers, and special characters</w:t>
      </w:r>
    </w:p>
    <w:p>
      <w:r>
        <w:t xml:space="preserve">Expiry: Every 90 days</w:t>
      </w:r>
    </w:p>
    <w:p>
      <w:pPr>
        <w:spacing w:after="100"/>
        <w:ind w:left="720"/>
      </w:pPr>
      <w:r>
        <w:rPr>
          <w:i/>
          <w:iCs/>
          <w:color w:val="CC0000"/>
          <w:sz w:val="18"/>
          <w:szCs w:val="18"/>
        </w:rPr>
        <w:t xml:space="preserve">[TODO: Update password section to reflect NCSC guidance. NCSC now recommends against forced password expiry. Need to align with NCSC Cyber Essentials requirements.]</w:t>
      </w:r>
    </w:p>
    <w:p>
      <w:pPr>
        <w:pStyle w:val="Heading2"/>
      </w:pPr>
      <w:r>
        <w:t xml:space="preserve">3.2 Multi-factor authentication</w:t>
      </w:r>
    </w:p>
    <w:p>
      <w:r>
        <w:t xml:space="preserve">MFA is required for all remote access and for access to systems handling OFFICIAL-SENSITIVE or above.</w:t>
      </w:r>
    </w:p>
    <w:p>
      <w:pPr>
        <w:pStyle w:val="Heading1"/>
      </w:pPr>
      <w:r>
        <w:t xml:space="preserve">4. Device Security</w:t>
      </w:r>
    </w:p>
    <w:p>
      <w:pPr>
        <w:pStyle w:val="Heading2"/>
      </w:pPr>
      <w:r>
        <w:t xml:space="preserve">4.1 Department-issued devices</w:t>
      </w:r>
    </w:p>
    <w:p>
      <w:r>
        <w:t xml:space="preserve">All laptops and mobile devices must be encrypted using BitLocker (Windows) or FileVault (Mac).</w:t>
      </w:r>
    </w:p>
    <w:p>
      <w:r>
        <w:t xml:space="preserve">Automatic updates must be enabled. Devices must not be used if updates are more than 14 days overdue.</w:t>
      </w:r>
    </w:p>
    <w:p>
      <w:pPr>
        <w:pStyle w:val="Heading2"/>
      </w:pPr>
      <w:r>
        <w:t xml:space="preserve">4.2 Personal devices</w:t>
      </w:r>
    </w:p>
    <w:p>
      <w:r>
        <w:t xml:space="preserve">Personal devices must not be used to access departmental systems or data unless through an approved BYOD solution. Currently, no BYOD solution is approved.</w:t>
      </w:r>
    </w:p>
    <w:p>
      <w:pPr>
        <w:spacing w:after="100"/>
        <w:ind w:left="720"/>
      </w:pPr>
      <w:r>
        <w:rPr>
          <w:i/>
          <w:iCs/>
          <w:color w:val="CC0000"/>
          <w:sz w:val="18"/>
          <w:szCs w:val="18"/>
        </w:rPr>
        <w:t xml:space="preserve">[PLACEHOLDER: Section 5 — Cloud Security — to be drafted by Cloud Architecture team. Target: March 2024.]</w:t>
      </w:r>
    </w:p>
    <w:p>
      <w:pPr>
        <w:pStyle w:val="Heading1"/>
      </w:pPr>
      <w:r>
        <w:t xml:space="preserve">6. Incident Response</w:t>
      </w:r>
    </w:p>
    <w:p>
      <w:r>
        <w:t xml:space="preserve">All security incidents must be reported to the Security Operations Centre (SOC) immediately.</w:t>
      </w:r>
    </w:p>
    <w:p>
      <w:r>
        <w:t xml:space="preserve">SOC contact: soc@dwp.gov.uk / 0800 XXX XXXX (24/7)</w:t>
      </w:r>
    </w:p>
    <w:p>
      <w:r>
        <w:t xml:space="preserve">Severity classification:</w:t>
      </w:r>
    </w:p>
    <w:p>
      <w:r>
        <w:t xml:space="preserve">P1 — Active compromise or data breach affecting live services</w:t>
      </w:r>
    </w:p>
    <w:p>
      <w:r>
        <w:t xml:space="preserve">P2 — Suspected compromise or vulnerability being actively exploited</w:t>
      </w:r>
    </w:p>
    <w:p>
      <w:r>
        <w:t xml:space="preserve">P3 — Security policy violation or minor vulnerability</w:t>
      </w:r>
    </w:p>
    <w:p>
      <w:r>
        <w:t xml:space="preserve">P4 — Advisory or informational</w:t>
      </w:r>
    </w:p>
    <w:p>
      <w:pPr>
        <w:pStyle w:val="Heading1"/>
      </w:pPr>
      <w:r>
        <w:t xml:space="preserve">7. Training</w:t>
      </w:r>
    </w:p>
    <w:p>
      <w:r>
        <w:t xml:space="preserve">All staff must complete Responsible for Information (RfI) training annually. Staff in roles with elevated access must complete additional security training as specified by their role requirements.</w:t>
      </w:r>
    </w:p>
    <w:p>
      <w:pPr>
        <w:spacing w:after="100"/>
        <w:ind w:left="720"/>
      </w:pPr>
      <w:r>
        <w:rPr>
          <w:i/>
          <w:iCs/>
          <w:color w:val="CC0000"/>
          <w:sz w:val="18"/>
          <w:szCs w:val="18"/>
        </w:rPr>
        <w:t xml:space="preserve">[END OF DRAFT — Sections 5, 8, 9, 10 still to be written]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2026-04-14T09:02:53.618Z</dcterms:created>
  <dcterms:modified xsi:type="dcterms:W3CDTF">2026-04-14T09:02:53.618Z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