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bookmarkStart w:id="1" w:name="OLE_LINK2"/>
      <w:bookmarkStart w:id="2" w:name="_Toc581531977"/>
      <w:bookmarkStart w:id="3" w:name="demonstration_of_docx_support_in_calibre"/>
      <w:r>
        <w:rPr>
          <w:color w:val="17365D"/>
          <w:sz w:val="52"/>
        </w:rPr>
        <w:t xml:space="preserve">Demonstration of DOCX support in </w:t>
      </w:r>
      <w:r>
        <w:rPr>
          <w:color w:val="17365D"/>
          <w:sz w:val="52"/>
        </w:rPr>
        <w:t xml:space="preserve">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w:t>
      </w:r>
      <w:r>
        <w:t xml:space="preserve">links, dropcaps and </w:t>
      </w:r>
      <w:r>
        <w:t xml:space="preserve">various</w:t>
      </w:r>
      <w:r>
        <w:t xml:space="preserve">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
      <w:pPr>
        <w:pStyle w:val="Heading1"/>
        <w:jc w:val="center"/>
      </w:pPr>
      <w:bookmarkStart w:id="4" w:name="_Toc2054249818"/>
      <w:bookmarkStart w:id="5" w:name="text_formatting"/>
      <w:r>
        <w:rPr>
          <w:b/>
          <w:color w:val="365F91"/>
          <w:sz w:val="28"/>
        </w:rPr>
        <w:t xml:space="preserve">Text Formatting</w:t>
      </w:r>
      <w:bookmarkEnd w:id="4"/>
      <w:bookmarkEnd w:id="5"/>
    </w:p>
    <w:p>
      <w:pPr>
        <w:pStyle w:val="Heading2"/>
      </w:pPr>
      <w:bookmarkStart w:id="6" w:name="_Toc2137712100"/>
      <w:bookmarkStart w:id="7" w:name="inline_formatting"/>
      <w:r>
        <w:rPr>
          <w:b/>
          <w:color w:val="4F81BD"/>
          <w:sz w:val="26"/>
        </w:rPr>
        <w:t xml:space="preserve">Inline formatting</w:t>
      </w:r>
      <w:bookmarkEnd w:id="6"/>
      <w:bookmarkEnd w:id="7"/>
    </w:p>
    <w:p>
      <w:r>
        <w:t xml:space="preserve">Here, we demonstrate various types of inline text formatting and the use of embedded fonts.</w:t>
      </w:r>
      <w:r>
        <w:br/>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Some text in a</w:t>
      </w:r>
      <w:r>
        <w:t xml:space="preserve"> </w:t>
      </w:r>
      <w:r>
        <w:t xml:space="preserve">box</w:t>
      </w:r>
      <w:r>
        <w:t xml:space="preserve">. Some text</w:t>
      </w:r>
      <w:r>
        <w:t xml:space="preserve"> in </w:t>
      </w:r>
      <w:r>
        <w:rPr>
          <w:color w:val="FFFFFF"/>
          <w:shd w:val="clear" w:color="auto" w:fill="000000"/>
        </w:rPr>
        <w:t xml:space="preserve">inverse video</w:t>
      </w:r>
      <w:r>
        <w:t xml:space="preserve">.</w:t>
      </w:r>
    </w:p>
    <w:p>
      <w:r>
        <w:t xml:space="preserve">A paragraph with styled text: </w:t>
      </w:r>
      <w:r>
        <w:rPr>
          <w:i/>
          <w:color w:val="808080"/>
        </w:rPr>
        <w:t xml:space="preserve">subtle emphasis</w:t>
      </w:r>
      <w:r>
        <w:rPr>
          <w:i/>
          <w:color w:val="808080"/>
        </w:rPr>
        <w:t xml:space="preserve">  </w:t>
      </w:r>
      <w:r>
        <w:t xml:space="preserve">f</w:t>
      </w:r>
      <w:r>
        <w:t xml:space="preserve">ollowed by </w:t>
      </w:r>
      <w:r>
        <w:rPr>
          <w:b/>
        </w:rPr>
        <w:t xml:space="preserve">strong text </w:t>
      </w:r>
      <w:r>
        <w:t xml:space="preserve">a</w:t>
      </w:r>
      <w:r>
        <w:t xml:space="preserve">nd </w:t>
      </w:r>
      <w:r>
        <w:rPr>
          <w:b/>
          <w:i/>
          <w:color w:val="4F81BD"/>
        </w:rPr>
        <w:t xml:space="preserve">intense emphasis</w:t>
      </w:r>
      <w:r>
        <w:t xml:space="preserve">.</w:t>
      </w:r>
      <w:r>
        <w:t xml:space="preserve"> This paragraph uses document wide styles for styling rather than inline text properties as demonstrated in the previous paragraph</w:t>
      </w:r>
      <w:r>
        <w:t xml:space="preserve"> — </w:t>
      </w:r>
      <w:r>
        <w:t xml:space="preserve">calibre can handle both with equal ease.</w:t>
      </w:r>
    </w:p>
    <w:p>
      <w:pPr>
        <w:pStyle w:val="Heading2"/>
      </w:pPr>
      <w:bookmarkStart w:id="8" w:name="_Toc1074133965"/>
      <w:bookmarkStart w:id="9" w:name="fun_with_fonts"/>
      <w:r>
        <w:rPr>
          <w:b/>
          <w:color w:val="4F81BD"/>
          <w:sz w:val="26"/>
        </w:rPr>
        <w:t xml:space="preserve">Fun with fonts</w:t>
      </w:r>
      <w:bookmarkEnd w:id="8"/>
      <w:bookmarkEnd w:id="9"/>
    </w:p>
    <w:p>
      <w:r>
        <w:t xml:space="preserve">This document has embedded the Ubuntu font family. The body text is in the Ubuntu typeface, here is </w:t>
      </w:r>
      <w:r>
        <w:rPr>
          <w:rFonts w:ascii="Ubuntu Mono" w:hAnsi="Ubuntu Mono"/>
        </w:rPr>
        <w:t xml:space="preserve">some text in the Ubuntu Mono typeface</w:t>
      </w:r>
      <w:r>
        <w:rPr>
          <w:rFonts w:ascii="Ubuntu Mono" w:hAnsi="Ubuntu Mono"/>
        </w:rPr>
        <w:t xml:space="preserve">, notice how every letter has the same width, even i and m</w:t>
      </w:r>
      <w:r>
        <w:t xml:space="preserve">. Every embedded font will automatically be embedded in the output ebook during conversion.</w:t>
      </w:r>
      <w:r>
        <w:t xml:space="preserve"> </w:t>
      </w:r>
    </w:p>
    <w:p>
      <w:pPr>
        <w:pStyle w:val="Heading2"/>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pPr>
        <w:ind w:left="720" w:hanging="720"/>
      </w:pPr>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w:t>
      </w:r>
      <w:r>
        <w:t xml:space="preserve">calibre</w:t>
      </w:r>
      <w:r>
        <w:t xml:space="preserve"> tries to do its best when converting tables. While you may run into trouble with the occasional table, the vast majority of common cases should be converted very well, as demonstrated in this section.</w:t>
      </w:r>
      <w:r>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pPr>
              <w:jc w:val="center"/>
            </w:pPr>
          </w:p>
        </w:tc>
        <w:tc>
          <w:tcPr>
            <w:tcW w:w="0" w:type="auto"/>
          </w:tcPr>
          <w:p>
            <w:pPr>
              <w:jc w:val="center"/>
            </w:p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pPr>
              <w:jc w:val="center"/>
            </w:p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p>
      <w:r>
        <w:t xml:space="preserve">Next, we see a table with special formatting in various locations. Notice how the f</w:t>
      </w:r>
      <w:r>
        <w:t xml:space="preserve">ormatting for the h</w:t>
      </w:r>
      <w:r>
        <w:t xml:space="preserve">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110</w:t>
            </w:r>
          </w:p>
        </w:tc>
        <w:tc>
          <w:tcPr>
            <w:tcW w:w="0" w:type="auto"/>
          </w:tcPr>
          <w:p>
            <w:r>
              <w:rPr>
                <w:sz w:val="22"/>
              </w:rPr>
              <w:t xml:space="preserve">103</w:t>
            </w:r>
          </w:p>
        </w:tc>
        <w:tc>
          <w:tcPr>
            <w:tcW w:w="0" w:type="auto"/>
          </w:tcPr>
          <w:p>
            <w:r>
              <w:rPr>
                <w:sz w:val="22"/>
              </w:rPr>
              <w:t xml:space="preserve">+7</w:t>
            </w:r>
          </w:p>
        </w:tc>
      </w:tr>
      <w:tr>
        <w:tc>
          <w:tcPr>
            <w:tcW w:w="0" w:type="auto"/>
          </w:tcPr>
          <w:p>
            <w:r>
              <w:t xml:space="preserve">Oak Institute</w:t>
            </w:r>
          </w:p>
        </w:tc>
        <w:tc>
          <w:tcPr>
            <w:tcW w:w="0" w:type="auto"/>
          </w:tcPr>
          <w:p>
            <w:r>
              <w:rPr>
                <w:sz w:val="22"/>
              </w:rPr>
              <w:t xml:space="preserve">202</w:t>
            </w:r>
          </w:p>
        </w:tc>
        <w:tc>
          <w:tcPr>
            <w:tcW w:w="0" w:type="auto"/>
          </w:tcPr>
          <w:p>
            <w:r>
              <w:rPr>
                <w:sz w:val="22"/>
              </w:rPr>
              <w:t xml:space="preserve">210</w:t>
            </w:r>
          </w:p>
        </w:tc>
        <w:tc>
          <w:tcPr>
            <w:tcW w:w="0" w:type="auto"/>
          </w:tcPr>
          <w:p>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24</w:t>
            </w:r>
          </w:p>
        </w:tc>
        <w:tc>
          <w:tcPr>
            <w:tcW w:w="0" w:type="auto"/>
          </w:tcPr>
          <w:p>
            <w:r>
              <w:rPr>
                <w:sz w:val="22"/>
              </w:rPr>
              <w:t xml:space="preserve">20</w:t>
            </w:r>
          </w:p>
        </w:tc>
        <w:tc>
          <w:tcPr>
            <w:tcW w:w="0" w:type="auto"/>
          </w:tcPr>
          <w:p>
            <w:r>
              <w:rPr>
                <w:sz w:val="22"/>
              </w:rPr>
              <w:t xml:space="preserve">+4</w:t>
            </w:r>
          </w:p>
        </w:tc>
      </w:tr>
      <w:tr>
        <w:tc>
          <w:tcPr>
            <w:tcW w:w="0" w:type="auto"/>
          </w:tcPr>
          <w:p>
            <w:r>
              <w:t xml:space="preserve">Elm College</w:t>
            </w:r>
          </w:p>
        </w:tc>
        <w:tc>
          <w:tcPr>
            <w:tcW w:w="0" w:type="auto"/>
          </w:tcPr>
          <w:p>
            <w:r>
              <w:rPr>
                <w:sz w:val="22"/>
              </w:rPr>
              <w:t xml:space="preserve">43</w:t>
            </w:r>
          </w:p>
        </w:tc>
        <w:tc>
          <w:tcPr>
            <w:tcW w:w="0" w:type="auto"/>
          </w:tcPr>
          <w:p>
            <w:r>
              <w:rPr>
                <w:sz w:val="22"/>
              </w:rPr>
              <w:t xml:space="preserve">53</w:t>
            </w:r>
          </w:p>
        </w:tc>
        <w:tc>
          <w:tcPr>
            <w:tcW w:w="0" w:type="auto"/>
          </w:tcPr>
          <w:p>
            <w:r>
              <w:rPr>
                <w:sz w:val="22"/>
              </w:rPr>
              <w:t xml:space="preserve">-10</w:t>
            </w:r>
          </w:p>
        </w:tc>
      </w:tr>
      <w:tr>
        <w:tc>
          <w:tcPr>
            <w:tcW w:w="0" w:type="auto"/>
          </w:tcPr>
          <w:p>
            <w:r>
              <w:t xml:space="preserve">Total</w:t>
            </w:r>
          </w:p>
        </w:tc>
        <w:tc>
          <w:tcPr>
            <w:tcW w:w="0" w:type="auto"/>
          </w:tcPr>
          <w:p>
            <w:r>
              <w:rPr>
                <w:sz w:val="22"/>
              </w:rPr>
              <w:t xml:space="preserve">998</w:t>
            </w:r>
          </w:p>
        </w:tc>
        <w:tc>
          <w:tcPr>
            <w:tcW w:w="0" w:type="auto"/>
          </w:tcPr>
          <w:p>
            <w:r>
              <w:rPr>
                <w:sz w:val="22"/>
              </w:rPr>
              <w:t xml:space="preserve">908</w:t>
            </w:r>
          </w:p>
        </w:tc>
        <w:tc>
          <w:tcPr>
            <w:tcW w:w="0" w:type="auto"/>
          </w:tcPr>
          <w:p>
            <w:r>
              <w:rPr>
                <w:sz w:val="22"/>
              </w:rPr>
              <w:t xml:space="preserve">90</w:t>
            </w:r>
          </w:p>
        </w:tc>
      </w:tr>
    </w:tbl>
    <w:p>
      <w:r>
        <w:rPr>
          <w:i/>
          <w:color w:val="808080"/>
          <w:sz w:val="20"/>
        </w:rPr>
        <w:t xml:space="preserve">Source:</w:t>
      </w:r>
      <w:r>
        <w:rPr>
          <w:sz w:val="20"/>
        </w:rPr>
        <w:t xml:space="preserve"> Fictitious data, for illustration purposes only</w:t>
      </w:r>
    </w:p>
    <w:p>
      <w:r>
        <w:t xml:space="preserve">Next</w:t>
      </w:r>
      <w:r>
        <w:t xml:space="preserve">, we have something a little more complex, a nested table, i.e. a table inside another table. Additionally, the inner table has some of its cells merged.</w:t>
      </w:r>
      <w:r>
        <w:t xml:space="preserve">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p>
      <w:r>
        <w:t xml:space="preserve">W</w:t>
      </w:r>
      <w:r>
        <w:t xml:space="preserve">e end with a </w:t>
      </w:r>
      <w:r>
        <w:t xml:space="preserve">fancy</w:t>
      </w:r>
      <w:r>
        <w:t xml:space="preserve"> calendar, note how </w:t>
      </w:r>
      <w:r>
        <w:t xml:space="preserve">much of the original formatting is preserved</w:t>
      </w:r>
      <w:r>
        <w:t xml:space="preserve">.</w:t>
      </w:r>
      <w:r>
        <w:t xml:space="preserve">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15" w:name="_Toc54889875"/>
      <w:bookmarkStart w:id="16" w:name="structural_elements"/>
      <w:r>
        <w:rPr>
          <w:b/>
          <w:color w:val="365F91"/>
          <w:sz w:val="28"/>
        </w:rPr>
        <w:t xml:space="preserve">Structural Elements</w:t>
      </w:r>
      <w:bookmarkEnd w:id="15"/>
      <w:bookmarkEnd w:id="16"/>
    </w:p>
    <w:p>
      <w:r>
        <w:t xml:space="preserve">Miscellaneous structural elements you can add to your document, like footnotes, endnotes, dropcaps and the like. </w:t>
      </w:r>
    </w:p>
    <w:p>
      <w:pPr>
        <w:pStyle w:val="Heading2"/>
      </w:pPr>
      <w:bookmarkStart w:id="17" w:name="_Toc201580556"/>
      <w:bookmarkStart w:id="18" w:name="footnotes_endnotes"/>
      <w:r>
        <w:rPr>
          <w:b/>
          <w:color w:val="4F81BD"/>
          <w:sz w:val="26"/>
        </w:rPr>
        <w:t xml:space="preserve">Footnotes &amp; Endnotes</w:t>
      </w:r>
      <w:bookmarkEnd w:id="17"/>
      <w:bookmarkEnd w:id="18"/>
    </w:p>
    <w:p>
      <w:r>
        <w:t xml:space="preserve">Footnotes</w:t>
      </w:r>
      <w:r>
        <w:rPr>
          <w:rStyle w:val="FootnoteReference"/>
        </w:rPr>
        <w:footnoteReference w:id="2"/>
      </w:r>
      <w:r>
        <w:t xml:space="preserve"> and endnotes</w:t>
      </w:r>
      <w:r>
        <w:rPr>
          <w:rStyle w:val="FootnoteReference"/>
        </w:rPr>
        <w:endnoteReference w:id="3"/>
      </w:r>
      <w:r>
        <w:t xml:space="preserve"> are automatically recognized and both are converted to endnotes, with backlinks for maximum ease of use in ebook devices.</w:t>
      </w:r>
    </w:p>
    <w:p>
      <w:pPr>
        <w:pStyle w:val="Heading2"/>
      </w:pPr>
      <w:bookmarkStart w:id="19" w:name="_Toc1977424358"/>
      <w:bookmarkStart w:id="20" w:name="dropcaps"/>
      <w:r>
        <w:rPr>
          <w:b/>
          <w:color w:val="4F81BD"/>
          <w:sz w:val="26"/>
        </w:rPr>
        <w:t xml:space="preserve">Dropcaps</w:t>
      </w:r>
      <w:bookmarkEnd w:id="19"/>
      <w:bookmarkEnd w:id="20"/>
    </w:p>
    <w:p>
      <w:r>
        <w:rPr>
          <w:sz w:val="117"/>
        </w:rPr>
        <w:t xml:space="preserve">D</w:t>
      </w:r>
    </w:p>
    <w:p>
      <w:r>
        <w:t xml:space="preserve">rop</w:t>
      </w:r>
      <w:r>
        <w:t xml:space="preserve"> caps are used to emphasize the leading paragraph at the start of a section. In </w:t>
      </w:r>
      <w:r>
        <w:t xml:space="preserve">Word</w:t>
      </w:r>
      <w:r>
        <w:t xml:space="preserve"> it is possible to s</w:t>
      </w:r>
      <w:r>
        <w:t xml:space="preserve">p</w:t>
      </w:r>
      <w:r>
        <w:t xml:space="preserve">ecify how many lines of text a drop-cap should use.</w:t>
      </w:r>
    </w:p>
    <w:p>
      <w:pPr>
        <w:pStyle w:val="Heading2"/>
      </w:pPr>
      <w:bookmarkStart w:id="21" w:name="_Toc1233048813"/>
      <w:bookmarkStart w:id="22" w:name="links"/>
      <w:r>
        <w:rPr>
          <w:b/>
          <w:color w:val="4F81BD"/>
          <w:sz w:val="26"/>
        </w:rPr>
        <w:t xml:space="preserve">Links</w:t>
      </w:r>
      <w:bookmarkEnd w:id="21"/>
      <w:bookmarkEnd w:id="22"/>
    </w:p>
    <w:p>
      <w:r>
        <w:t xml:space="preserve">Two kinds of links are possible, those that refer to an external website and those that refer to </w:t>
      </w:r>
      <w:r>
        <w:t xml:space="preserve">locations</w:t>
      </w:r>
      <w:r>
        <w:t xml:space="preserve"> inside the document itself. Both are supported by calibre. For example, here is a link pointing to the </w:t>
      </w:r>
      <w:hyperlink r:id="rId1">
        <w:r>
          <w:rPr>
            <w:rStyle w:val="Hyperlink"/>
            <w:color w:val="0000FF"/>
            <w:u w:val="single"/>
          </w:rPr>
          <w:t xml:space="preserve">calibre download page</w:t>
        </w:r>
      </w:hyperlink>
      <w:r>
        <w:t xml:space="preserve">.</w:t>
      </w:r>
      <w:r>
        <w:t xml:space="preserve">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pPr>
      <w:bookmarkStart w:id="23" w:name="_Toc64145348"/>
      <w:bookmarkStart w:id="24" w:name="table_of_contents"/>
      <w:r>
        <w:rPr>
          <w:b/>
          <w:color w:val="4F81BD"/>
          <w:sz w:val="26"/>
        </w:rPr>
        <w:t xml:space="preserve">Table of Contents</w:t>
      </w:r>
      <w:bookmarkEnd w:id="23"/>
      <w:bookmarkEnd w:id="24"/>
    </w:p>
    <w:p>
      <w:r>
        <w:t xml:space="preserve"> You can see the</w:t>
      </w:r>
      <w:r>
        <w:t xml:space="preserve"> Table of Contents</w:t>
      </w:r>
      <w:r>
        <w:t xml:space="preserve"> created by calibre</w:t>
      </w:r>
      <w:r>
        <w:t xml:space="preserve"> by clicking the Table of Contents button in whatever viewer you are using to view the converted ebook.</w:t>
      </w:r>
      <w:r>
        <w:t xml:space="preserve"> </w:t>
      </w:r>
    </w:p>
    <w:p>
      <w:hyperlink w:anchor="_Toc581531977">
        <w:r>
          <w:rPr>
            <w:rStyle w:val="Hyperlink"/>
            <w:b/>
            <w:color w:val="0000FF"/>
            <w:sz w:val="20"/>
            <w:u w:val="single"/>
          </w:rPr>
          <w:t xml:space="preserve">Demonstration of DOCX support in calibre</w:t>
        </w:r>
        <w:r>
          <w:rPr>
            <w:rStyle w:val="Hyperlink"/>
            <w:b/>
            <w:sz w:val="20"/>
          </w:rPr>
          <w:tab/>
        </w:r>
        <w:r>
          <w:rPr>
            <w:rStyle w:val="Hyperlink"/>
            <w:b/>
            <w:color w:val="0000FF"/>
            <w:sz w:val="20"/>
            <w:u w:val="single"/>
          </w:rPr>
          <w:t xml:space="preserve">1</w:t>
        </w:r>
      </w:hyperlink>
    </w:p>
    <w:p>
      <w:hyperlink w:anchor="_Toc2054249818">
        <w:r>
          <w:rPr>
            <w:rStyle w:val="Hyperlink"/>
            <w:b/>
            <w:color w:val="0000FF"/>
            <w:sz w:val="20"/>
            <w:u w:val="single"/>
          </w:rPr>
          <w:t xml:space="preserve">Text Formatting</w:t>
        </w:r>
        <w:r>
          <w:rPr>
            <w:rStyle w:val="Hyperlink"/>
            <w:b/>
            <w:sz w:val="20"/>
          </w:rPr>
          <w:tab/>
        </w:r>
        <w:r>
          <w:rPr>
            <w:rStyle w:val="Hyperlink"/>
            <w:b/>
            <w:color w:val="0000FF"/>
            <w:sz w:val="20"/>
            <w:u w:val="single"/>
          </w:rPr>
          <w:t xml:space="preserve">1</w:t>
        </w:r>
      </w:hyperlink>
    </w:p>
    <w:p>
      <w:pPr>
        <w:ind w:left="240"/>
      </w:pPr>
      <w:hyperlink w:anchor="_Toc2137712100">
        <w:r>
          <w:rPr>
            <w:rStyle w:val="Hyperlink"/>
            <w:i/>
            <w:color w:val="0000FF"/>
            <w:sz w:val="20"/>
            <w:u w:val="single"/>
          </w:rPr>
          <w:t xml:space="preserve">Inline formatting</w:t>
        </w:r>
        <w:r>
          <w:rPr>
            <w:rStyle w:val="Hyperlink"/>
            <w:i/>
            <w:sz w:val="20"/>
          </w:rPr>
          <w:tab/>
        </w:r>
        <w:r>
          <w:rPr>
            <w:rStyle w:val="Hyperlink"/>
            <w:i/>
            <w:color w:val="0000FF"/>
            <w:sz w:val="20"/>
            <w:u w:val="single"/>
          </w:rPr>
          <w:t xml:space="preserve">2</w:t>
        </w:r>
      </w:hyperlink>
    </w:p>
    <w:p>
      <w:pPr>
        <w:ind w:left="240"/>
      </w:pPr>
      <w:hyperlink w:anchor="_Toc1074133965">
        <w:r>
          <w:rPr>
            <w:rStyle w:val="Hyperlink"/>
            <w:i/>
            <w:color w:val="0000FF"/>
            <w:sz w:val="20"/>
            <w:u w:val="single"/>
          </w:rPr>
          <w:t xml:space="preserve">Fun with fonts</w:t>
        </w:r>
        <w:r>
          <w:rPr>
            <w:rStyle w:val="Hyperlink"/>
            <w:i/>
            <w:sz w:val="20"/>
          </w:rPr>
          <w:tab/>
        </w:r>
        <w:r>
          <w:rPr>
            <w:rStyle w:val="Hyperlink"/>
            <w:i/>
            <w:color w:val="0000FF"/>
            <w:sz w:val="20"/>
            <w:u w:val="single"/>
          </w:rPr>
          <w:t xml:space="preserve">2</w:t>
        </w:r>
      </w:hyperlink>
    </w:p>
    <w:p>
      <w:pPr>
        <w:ind w:left="240"/>
      </w:pPr>
      <w:hyperlink w:anchor="_Toc2022725662">
        <w:r>
          <w:rPr>
            <w:rStyle w:val="Hyperlink"/>
            <w:i/>
            <w:color w:val="0000FF"/>
            <w:sz w:val="20"/>
            <w:u w:val="single"/>
          </w:rPr>
          <w:t xml:space="preserve">Paragraph level formatting</w:t>
        </w:r>
        <w:r>
          <w:rPr>
            <w:rStyle w:val="Hyperlink"/>
            <w:i/>
            <w:sz w:val="20"/>
          </w:rPr>
          <w:tab/>
        </w:r>
        <w:r>
          <w:rPr>
            <w:rStyle w:val="Hyperlink"/>
            <w:i/>
            <w:color w:val="0000FF"/>
            <w:sz w:val="20"/>
            <w:u w:val="single"/>
          </w:rPr>
          <w:t xml:space="preserve">2</w:t>
        </w:r>
      </w:hyperlink>
    </w:p>
    <w:p>
      <w:hyperlink w:anchor="_Toc28114276">
        <w:r>
          <w:rPr>
            <w:rStyle w:val="Hyperlink"/>
            <w:b/>
            <w:color w:val="0000FF"/>
            <w:sz w:val="20"/>
            <w:u w:val="single"/>
          </w:rPr>
          <w:t xml:space="preserve">Tables</w:t>
        </w:r>
        <w:r>
          <w:rPr>
            <w:rStyle w:val="Hyperlink"/>
            <w:b/>
            <w:sz w:val="20"/>
          </w:rPr>
          <w:tab/>
        </w:r>
        <w:r>
          <w:rPr>
            <w:rStyle w:val="Hyperlink"/>
            <w:b/>
            <w:color w:val="0000FF"/>
            <w:sz w:val="20"/>
            <w:u w:val="single"/>
          </w:rPr>
          <w:t xml:space="preserve">2</w:t>
        </w:r>
      </w:hyperlink>
    </w:p>
    <w:p>
      <w:hyperlink w:anchor="_Toc54889875">
        <w:r>
          <w:rPr>
            <w:rStyle w:val="Hyperlink"/>
            <w:b/>
            <w:color w:val="0000FF"/>
            <w:sz w:val="20"/>
            <w:u w:val="single"/>
          </w:rPr>
          <w:t xml:space="preserve">Structural Elements</w:t>
        </w:r>
        <w:r>
          <w:rPr>
            <w:rStyle w:val="Hyperlink"/>
            <w:b/>
            <w:sz w:val="20"/>
          </w:rPr>
          <w:tab/>
        </w:r>
        <w:r>
          <w:rPr>
            <w:rStyle w:val="Hyperlink"/>
            <w:b/>
            <w:color w:val="0000FF"/>
            <w:sz w:val="20"/>
            <w:u w:val="single"/>
          </w:rPr>
          <w:t xml:space="preserve">4</w:t>
        </w:r>
      </w:hyperlink>
    </w:p>
    <w:p>
      <w:pPr>
        <w:ind w:left="240"/>
      </w:pPr>
      <w:hyperlink w:anchor="_Toc201580556">
        <w:r>
          <w:rPr>
            <w:rStyle w:val="Hyperlink"/>
            <w:i/>
            <w:color w:val="0000FF"/>
            <w:sz w:val="20"/>
            <w:u w:val="single"/>
          </w:rPr>
          <w:t xml:space="preserve">Footnotes &amp; Endnotes</w:t>
        </w:r>
        <w:r>
          <w:rPr>
            <w:rStyle w:val="Hyperlink"/>
            <w:i/>
            <w:sz w:val="20"/>
          </w:rPr>
          <w:tab/>
        </w:r>
        <w:r>
          <w:rPr>
            <w:rStyle w:val="Hyperlink"/>
            <w:i/>
            <w:color w:val="0000FF"/>
            <w:sz w:val="20"/>
            <w:u w:val="single"/>
          </w:rPr>
          <w:t xml:space="preserve">5</w:t>
        </w:r>
      </w:hyperlink>
    </w:p>
    <w:p>
      <w:pPr>
        <w:ind w:left="240"/>
      </w:pPr>
      <w:hyperlink w:anchor="_Toc1977424358">
        <w:r>
          <w:rPr>
            <w:rStyle w:val="Hyperlink"/>
            <w:i/>
            <w:color w:val="0000FF"/>
            <w:sz w:val="20"/>
            <w:u w:val="single"/>
          </w:rPr>
          <w:t xml:space="preserve">Dropcaps</w:t>
        </w:r>
        <w:r>
          <w:rPr>
            <w:rStyle w:val="Hyperlink"/>
            <w:i/>
            <w:sz w:val="20"/>
          </w:rPr>
          <w:tab/>
        </w:r>
        <w:r>
          <w:rPr>
            <w:rStyle w:val="Hyperlink"/>
            <w:i/>
            <w:color w:val="0000FF"/>
            <w:sz w:val="20"/>
            <w:u w:val="single"/>
          </w:rPr>
          <w:t xml:space="preserve">5</w:t>
        </w:r>
      </w:hyperlink>
    </w:p>
    <w:p>
      <w:pPr>
        <w:ind w:left="240"/>
      </w:pPr>
      <w:hyperlink w:anchor="_Toc1233048813">
        <w:r>
          <w:rPr>
            <w:rStyle w:val="Hyperlink"/>
            <w:i/>
            <w:color w:val="0000FF"/>
            <w:sz w:val="20"/>
            <w:u w:val="single"/>
          </w:rPr>
          <w:t xml:space="preserve">Links</w:t>
        </w:r>
        <w:r>
          <w:rPr>
            <w:rStyle w:val="Hyperlink"/>
            <w:i/>
            <w:sz w:val="20"/>
          </w:rPr>
          <w:tab/>
        </w:r>
        <w:r>
          <w:rPr>
            <w:rStyle w:val="Hyperlink"/>
            <w:i/>
            <w:color w:val="0000FF"/>
            <w:sz w:val="20"/>
            <w:u w:val="single"/>
          </w:rPr>
          <w:t xml:space="preserve">5</w:t>
        </w:r>
      </w:hyperlink>
    </w:p>
    <w:p>
      <w:pPr>
        <w:ind w:left="240"/>
      </w:pPr>
      <w:hyperlink w:anchor="_Toc64145348">
        <w:r>
          <w:rPr>
            <w:rStyle w:val="Hyperlink"/>
            <w:i/>
            <w:color w:val="0000FF"/>
            <w:sz w:val="20"/>
            <w:u w:val="single"/>
          </w:rPr>
          <w:t xml:space="preserve">Table of Contents</w:t>
        </w:r>
        <w:r>
          <w:rPr>
            <w:rStyle w:val="Hyperlink"/>
            <w:i/>
            <w:sz w:val="20"/>
          </w:rPr>
          <w:tab/>
        </w:r>
        <w:r>
          <w:rPr>
            <w:rStyle w:val="Hyperlink"/>
            <w:i/>
            <w:color w:val="0000FF"/>
            <w:sz w:val="20"/>
            <w:u w:val="single"/>
          </w:rPr>
          <w:t xml:space="preserve">5</w:t>
        </w:r>
      </w:hyperlink>
    </w:p>
    <w:p>
      <w:hyperlink w:anchor="_Toc484565143">
        <w:r>
          <w:rPr>
            <w:rStyle w:val="Hyperlink"/>
            <w:b/>
            <w:color w:val="0000FF"/>
            <w:sz w:val="20"/>
            <w:u w:val="single"/>
          </w:rPr>
          <w:t xml:space="preserve">Images</w:t>
        </w:r>
        <w:r>
          <w:rPr>
            <w:rStyle w:val="Hyperlink"/>
            <w:b/>
            <w:sz w:val="20"/>
          </w:rPr>
          <w:tab/>
        </w:r>
        <w:r>
          <w:rPr>
            <w:rStyle w:val="Hyperlink"/>
            <w:b/>
            <w:color w:val="0000FF"/>
            <w:sz w:val="20"/>
            <w:u w:val="single"/>
          </w:rPr>
          <w:t xml:space="preserve">6</w:t>
        </w:r>
      </w:hyperlink>
    </w:p>
    <w:p>
      <w:hyperlink w:anchor="_Toc1359965655">
        <w:r>
          <w:rPr>
            <w:rStyle w:val="Hyperlink"/>
            <w:b/>
            <w:color w:val="0000FF"/>
            <w:sz w:val="20"/>
            <w:u w:val="single"/>
          </w:rPr>
          <w:t xml:space="preserve">Lists</w:t>
        </w:r>
        <w:r>
          <w:rPr>
            <w:rStyle w:val="Hyperlink"/>
            <w:b/>
            <w:sz w:val="20"/>
          </w:rPr>
          <w:tab/>
        </w:r>
        <w:r>
          <w:rPr>
            <w:rStyle w:val="Hyperlink"/>
            <w:b/>
            <w:color w:val="0000FF"/>
            <w:sz w:val="20"/>
            <w:u w:val="single"/>
          </w:rPr>
          <w:t xml:space="preserve">7</w:t>
        </w:r>
      </w:hyperlink>
    </w:p>
    <w:p>
      <w:pPr>
        <w:ind w:left="240"/>
      </w:pPr>
      <w:hyperlink w:anchor="_Toc1958162433">
        <w:r>
          <w:rPr>
            <w:rStyle w:val="Hyperlink"/>
            <w:i/>
            <w:color w:val="0000FF"/>
            <w:sz w:val="20"/>
            <w:u w:val="single"/>
          </w:rPr>
          <w:t xml:space="preserve">Bulleted List</w:t>
        </w:r>
        <w:r>
          <w:rPr>
            <w:rStyle w:val="Hyperlink"/>
            <w:i/>
            <w:sz w:val="20"/>
          </w:rPr>
          <w:tab/>
        </w:r>
        <w:r>
          <w:rPr>
            <w:rStyle w:val="Hyperlink"/>
            <w:i/>
            <w:color w:val="0000FF"/>
            <w:sz w:val="20"/>
            <w:u w:val="single"/>
          </w:rPr>
          <w:t xml:space="preserve">8</w:t>
        </w:r>
      </w:hyperlink>
    </w:p>
    <w:p>
      <w:pPr>
        <w:ind w:left="240"/>
      </w:pPr>
      <w:hyperlink w:anchor="_Toc415190676">
        <w:r>
          <w:rPr>
            <w:rStyle w:val="Hyperlink"/>
            <w:i/>
            <w:color w:val="0000FF"/>
            <w:sz w:val="20"/>
            <w:u w:val="single"/>
          </w:rPr>
          <w:t xml:space="preserve">Numbered List</w:t>
        </w:r>
        <w:r>
          <w:rPr>
            <w:rStyle w:val="Hyperlink"/>
            <w:i/>
            <w:sz w:val="20"/>
          </w:rPr>
          <w:tab/>
        </w:r>
        <w:r>
          <w:rPr>
            <w:rStyle w:val="Hyperlink"/>
            <w:i/>
            <w:color w:val="0000FF"/>
            <w:sz w:val="20"/>
            <w:u w:val="single"/>
          </w:rPr>
          <w:t xml:space="preserve">8</w:t>
        </w:r>
      </w:hyperlink>
    </w:p>
    <w:p>
      <w:pPr>
        <w:ind w:left="240"/>
      </w:pPr>
      <w:hyperlink w:anchor="_Toc1093260318">
        <w:r>
          <w:rPr>
            <w:rStyle w:val="Hyperlink"/>
            <w:i/>
            <w:color w:val="0000FF"/>
            <w:sz w:val="20"/>
            <w:u w:val="single"/>
          </w:rPr>
          <w:t xml:space="preserve">Multi-level Lists</w:t>
        </w:r>
        <w:r>
          <w:rPr>
            <w:rStyle w:val="Hyperlink"/>
            <w:i/>
            <w:sz w:val="20"/>
          </w:rPr>
          <w:tab/>
        </w:r>
        <w:r>
          <w:rPr>
            <w:rStyle w:val="Hyperlink"/>
            <w:i/>
            <w:color w:val="0000FF"/>
            <w:sz w:val="20"/>
            <w:u w:val="single"/>
          </w:rPr>
          <w:t xml:space="preserve">8</w:t>
        </w:r>
      </w:hyperlink>
    </w:p>
    <w:p>
      <w:pPr>
        <w:ind w:left="240"/>
      </w:pPr>
      <w:hyperlink w:anchor="_Toc1471533984">
        <w:r>
          <w:rPr>
            <w:rStyle w:val="Hyperlink"/>
            <w:i/>
            <w:color w:val="0000FF"/>
            <w:sz w:val="20"/>
            <w:u w:val="single"/>
          </w:rPr>
          <w:t xml:space="preserve">Continued Lists</w:t>
        </w:r>
        <w:r>
          <w:rPr>
            <w:rStyle w:val="Hyperlink"/>
            <w:i/>
            <w:sz w:val="20"/>
          </w:rPr>
          <w:tab/>
        </w:r>
        <w:r>
          <w:rPr>
            <w:rStyle w:val="Hyperlink"/>
            <w:i/>
            <w:color w:val="0000FF"/>
            <w:sz w:val="20"/>
            <w:u w:val="single"/>
          </w:rPr>
          <w:t xml:space="preserve">8</w:t>
        </w:r>
      </w:hyperlink>
    </w:p>
    <w:p/>
    <w:p/>
    <w:p>
      <w:pPr>
        <w:pStyle w:val="Heading1"/>
        <w:jc w:val="center"/>
      </w:pPr>
      <w:bookmarkStart w:id="25" w:name="_Toc484565143"/>
      <w:bookmarkStart w:id="26" w:name="images"/>
      <w:r>
        <w:rPr>
          <w:b/>
          <w:color w:val="365F91"/>
          <w:sz w:val="28"/>
        </w:rPr>
        <w:t xml:space="preserve">Images</w:t>
      </w:r>
      <w:bookmarkEnd w:id="25"/>
      <w:bookmarkEnd w:id="26"/>
    </w:p>
    <w:p>
      <w:r>
        <w:t xml:space="preserve">Centered images like this are useful for large pictures that should be a focus of attention.</w:t>
      </w:r>
      <w:r>
        <w:t xml:space="preserve"> </w:t>
      </w:r>
    </w:p>
    <w:p>
      <w:pPr>
        <w:ind w:firstLine="432"/>
      </w:pPr>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Pr>
        <w:ind w:firstLine="432"/>
      </w:pPr>
    </w:p>
    <w:p>
      <w:pPr>
        <w:ind w:firstLine="432"/>
      </w:pPr>
      <w:r>
        <w:rPr>
          <w:rFonts w:ascii="Ubuntu" w:hAnsi="Ubuntu"/>
          <w:sz w:val="24"/>
        </w:rPr>
        <w:t xml:space="preserve">There is no analogous technology in </w:t>
      </w:r>
      <w:r>
        <w:rPr>
          <w:rFonts w:ascii="Ubuntu" w:hAnsi="Ubuntu"/>
          <w:sz w:val="24"/>
        </w:rPr>
        <w:t xml:space="preserve">ebooks</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jc w:val="center"/>
      </w:pPr>
      <w:bookmarkStart w:id="27" w:name="_Toc1359965655"/>
      <w:bookmarkStart w:id="28" w:name="lists"/>
      <w:r>
        <w:rPr>
          <w:b/>
          <w:color w:val="365F91"/>
          <w:sz w:val="28"/>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ind w:left="720"/>
      </w:pPr>
      <w:r>
        <w:t xml:space="preserve">One</w:t>
      </w:r>
    </w:p>
    <w:p>
      <w:pPr>
        <w:pStyle w:val="ListParagraph"/>
        <w:numPr>
          <w:ilvl w:val="0"/>
          <w:numId w:val="1"/>
        </w:numPr>
        <w:ind w:left="720"/>
      </w:pPr>
      <w:r>
        <w:t xml:space="preserve">Two</w:t>
      </w:r>
    </w:p>
    <w:p>
      <w:pPr>
        <w:pStyle w:val="Heading2"/>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ind w:left="720"/>
      </w:pPr>
      <w:r>
        <w:t xml:space="preserve">One, with a very long line to demonstrate that the hanging indent for the list is working correctly</w:t>
      </w:r>
    </w:p>
    <w:p>
      <w:pPr>
        <w:pStyle w:val="ListParagraph"/>
        <w:numPr>
          <w:ilvl w:val="0"/>
          <w:numId w:val="2"/>
        </w:numPr>
        <w:ind w:left="720"/>
      </w:pPr>
      <w:r>
        <w:t xml:space="preserve">Two</w:t>
      </w:r>
    </w:p>
    <w:p>
      <w:pPr>
        <w:pStyle w:val="Heading2"/>
      </w:pPr>
      <w:bookmarkStart w:id="33" w:name="_Toc1093260318"/>
      <w:bookmarkStart w:id="34" w:name="multi_level_lists"/>
      <w:r>
        <w:rPr>
          <w:b/>
          <w:color w:val="4F81BD"/>
          <w:sz w:val="26"/>
        </w:rPr>
        <w:t xml:space="preserve">Multi-level List</w:t>
      </w:r>
      <w:r>
        <w:rPr>
          <w:b/>
          <w:color w:val="4F81BD"/>
          <w:sz w:val="26"/>
        </w:rPr>
        <w:t xml:space="preserve">s</w:t>
      </w:r>
      <w:bookmarkEnd w:id="33"/>
      <w:bookmarkEnd w:id="34"/>
    </w:p>
    <w:p>
      <w:pPr>
        <w:pStyle w:val="ListParagraph"/>
        <w:numPr>
          <w:ilvl w:val="0"/>
          <w:numId w:val="3"/>
        </w:numPr>
        <w:ind w:left="720"/>
      </w:pPr>
      <w:r>
        <w:t xml:space="preserve">One</w:t>
      </w:r>
    </w:p>
    <w:p>
      <w:pPr>
        <w:pStyle w:val="ListParagraph"/>
        <w:numPr>
          <w:ilvl w:val="1"/>
          <w:numId w:val="3"/>
        </w:numPr>
        <w:ind w:left="720"/>
      </w:pPr>
      <w:r>
        <w:t xml:space="preserve">Two</w:t>
      </w:r>
    </w:p>
    <w:p>
      <w:pPr>
        <w:pStyle w:val="ListParagraph"/>
        <w:numPr>
          <w:ilvl w:val="2"/>
          <w:numId w:val="3"/>
        </w:numPr>
        <w:ind w:left="720"/>
      </w:pPr>
      <w:r>
        <w:t xml:space="preserve">Three</w:t>
      </w:r>
    </w:p>
    <w:p>
      <w:pPr>
        <w:pStyle w:val="ListParagraph"/>
        <w:numPr>
          <w:ilvl w:val="2"/>
          <w:numId w:val="3"/>
        </w:numPr>
        <w:ind w:left="720"/>
      </w:pPr>
      <w:r>
        <w:t xml:space="preserve">Four with a very long line to demonstrate that the hanging indent for the list is working correctly.</w:t>
      </w:r>
    </w:p>
    <w:p>
      <w:pPr>
        <w:pStyle w:val="ListParagraph"/>
        <w:numPr>
          <w:ilvl w:val="2"/>
          <w:numId w:val="3"/>
        </w:numPr>
        <w:ind w:left="720"/>
      </w:pPr>
      <w:r>
        <w:t xml:space="preserve">Five</w:t>
      </w:r>
    </w:p>
    <w:p>
      <w:pPr>
        <w:pStyle w:val="ListParagraph"/>
        <w:numPr>
          <w:ilvl w:val="0"/>
          <w:numId w:val="3"/>
        </w:numPr>
        <w:ind w:left="720"/>
      </w:pPr>
      <w:r>
        <w:t xml:space="preserve">Six</w:t>
      </w:r>
    </w:p>
    <w:p>
      <w:pPr>
        <w:pStyle w:val="ListParagraph"/>
        <w:ind w:left="360"/>
      </w:pPr>
      <w:r>
        <w:t xml:space="preserve">A Multi-level list with bullets:</w:t>
      </w:r>
    </w:p>
    <w:p>
      <w:pPr>
        <w:pStyle w:val="ListParagraph"/>
        <w:numPr>
          <w:ilvl w:val="0"/>
          <w:numId w:val="4"/>
        </w:numPr>
        <w:ind w:left="720"/>
      </w:pPr>
      <w:r>
        <w:t xml:space="preserve">One</w:t>
      </w:r>
    </w:p>
    <w:p>
      <w:pPr>
        <w:pStyle w:val="ListParagraph"/>
        <w:numPr>
          <w:ilvl w:val="1"/>
          <w:numId w:val="4"/>
        </w:numPr>
        <w:ind w:left="720"/>
      </w:pPr>
      <w:r>
        <w:t xml:space="preserve">Two</w:t>
      </w:r>
    </w:p>
    <w:p>
      <w:pPr>
        <w:pStyle w:val="ListParagraph"/>
        <w:numPr>
          <w:ilvl w:val="2"/>
          <w:numId w:val="4"/>
        </w:numPr>
        <w:ind w:left="720"/>
      </w:pPr>
      <w:r>
        <w:t xml:space="preserve">This bullet uses an image as the bullet item</w:t>
      </w:r>
    </w:p>
    <w:p>
      <w:pPr>
        <w:pStyle w:val="ListParagraph"/>
        <w:numPr>
          <w:ilvl w:val="3"/>
          <w:numId w:val="4"/>
        </w:numPr>
        <w:ind w:left="720"/>
      </w:pPr>
      <w:r>
        <w:t xml:space="preserve">Four</w:t>
      </w:r>
    </w:p>
    <w:p>
      <w:pPr>
        <w:pStyle w:val="ListParagraph"/>
        <w:numPr>
          <w:ilvl w:val="0"/>
          <w:numId w:val="4"/>
        </w:numPr>
        <w:ind w:left="720"/>
      </w:pPr>
      <w:r>
        <w:t xml:space="preserve">Five</w:t>
      </w:r>
    </w:p>
    <w:p>
      <w:pPr>
        <w:pStyle w:val="Heading2"/>
      </w:pPr>
      <w:bookmarkStart w:id="35" w:name="_Toc1471533984"/>
      <w:bookmarkStart w:id="36" w:name="continued_lists"/>
      <w:r>
        <w:rPr>
          <w:b/>
          <w:color w:val="4F81BD"/>
          <w:sz w:val="26"/>
        </w:rPr>
        <w:t xml:space="preserve">Continued Lists</w:t>
      </w:r>
      <w:bookmarkEnd w:id="35"/>
      <w:bookmarkEnd w:id="36"/>
    </w:p>
    <w:p>
      <w:pPr>
        <w:pStyle w:val="ListParagraph"/>
        <w:numPr>
          <w:ilvl w:val="0"/>
          <w:numId w:val="5"/>
        </w:numPr>
        <w:ind w:left="720"/>
      </w:pPr>
      <w:r>
        <w:t xml:space="preserve">One</w:t>
      </w:r>
    </w:p>
    <w:p>
      <w:pPr>
        <w:pStyle w:val="ListParagraph"/>
        <w:numPr>
          <w:ilvl w:val="0"/>
          <w:numId w:val="5"/>
        </w:numPr>
        <w:ind w:left="720"/>
      </w:pPr>
      <w:r>
        <w:t xml:space="preserve">Two</w:t>
      </w:r>
    </w:p>
    <w:p>
      <w:pPr>
        <w:pStyle w:val="ListParagraph"/>
        <w:ind w:left="720"/>
      </w:pPr>
      <w:r>
        <w:t xml:space="preserve">An interruption in our regularly scheduled listing, for this essential and very relevant public service announcement.</w:t>
      </w:r>
    </w:p>
    <w:p>
      <w:pPr>
        <w:pStyle w:val="ListParagraph"/>
        <w:numPr>
          <w:ilvl w:val="0"/>
          <w:numId w:val="5"/>
        </w:numPr>
        <w:ind w:left="720"/>
      </w:pPr>
      <w:r>
        <w:t xml:space="preserve">We now resume our normal programming</w:t>
      </w:r>
    </w:p>
    <w:p>
      <w:pPr>
        <w:pStyle w:val="ListParagraph"/>
        <w:numPr>
          <w:ilvl w:val="0"/>
          <w:numId w:val="5"/>
        </w:numPr>
        <w:ind w:left="720"/>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keywords>calibre, docs, ebook, conversion</cp:keywords>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