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Demonstration of DOCX support in calibre </w:t>
            </w:r>
          </w:p>
        </w:tc>
      </w:tr>
      <w:tr>
        <w:tc>
          <w:tcPr>
            <w:tcW w:w="0" w:type="auto"/>
          </w:tcPr>
          <w:p>
            <w:r>
              <w:t xml:space="preserve">This document demonstrates the ability of the </w:t>
            </w:r>
          </w:p>
          <w:p>
            <w:r>
              <w:rPr>
                <w:rFonts w:ascii="Ubuntu" w:hAnsi="Ubuntu"/>
                <w:color w:val="000000"/>
                <w:sz w:val="24"/>
              </w:rPr>
              <w:t xml:space="preserve">calibre</w:t>
            </w:r>
          </w:p>
          <w:p>
            <w: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t xml:space="preserve">There is support for images, tables, lists, footnotes, endnotes, links, dropcaps and various types of text and paragraph level formatting. </w:t>
            </w:r>
          </w:p>
        </w:tc>
      </w:tr>
      <w:tr>
        <w:tc>
          <w:tcPr>
            <w:tcW w:w="0" w:type="auto"/>
          </w:tcPr>
          <w:p>
            <w:r>
              <w:t xml:space="preserve">To see the DOCX conversion in action, simply add this file to calibre using the </w:t>
            </w:r>
          </w:p>
          <w:p>
            <w:r>
              <w:rPr>
                <w:rFonts w:ascii="Ubuntu" w:hAnsi="Ubuntu"/>
                <w:b/>
                <w:color w:val="000000"/>
                <w:sz w:val="24"/>
              </w:rPr>
              <w:t xml:space="preserve">“Add Books” </w:t>
            </w:r>
          </w:p>
          <w:p>
            <w:r>
              <w:t xml:space="preserve">button and then click “</w:t>
            </w:r>
          </w:p>
          <w:p>
            <w:r>
              <w:rPr>
                <w:rFonts w:ascii="Ubuntu" w:hAnsi="Ubuntu"/>
                <w:b/>
                <w:color w:val="000000"/>
                <w:sz w:val="24"/>
              </w:rPr>
              <w:t xml:space="preserve">Convert”. </w:t>
            </w:r>
          </w:p>
          <w:p>
            <w:r>
              <w:t xml:space="preserve"> Set the output format in the top right corner of the conversion dialog to EPUB or AZW3 and click </w:t>
            </w:r>
          </w:p>
          <w:p>
            <w:r>
              <w:rPr>
                <w:rFonts w:ascii="Ubuntu" w:hAnsi="Ubuntu"/>
                <w:b/>
                <w:color w:val="000000"/>
                <w:sz w:val="24"/>
              </w:rPr>
              <w:t xml:space="preserve">“OK”</w:t>
            </w:r>
          </w:p>
          <w:p>
            <w:r>
              <w:t xml:space="preserve">.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t xml:space="preserve">One, with a very long line to demonstrate that the hanging indent for the list is working correctly </w:t>
            </w:r>
          </w:p>
        </w:tc>
      </w:tr>
      <w:tr>
        <w:tc>
          <w:tcPr>
            <w:tcW w:w="0" w:type="auto"/>
          </w:tcPr>
          <w:p/>
        </w:tc>
        <w:tc>
          <w:tcPr>
            <w:tcW w:w="0" w:type="auto"/>
          </w:tcPr>
          <w:p>
            <w:r>
              <w:t xml:space="preserve">Two </w:t>
            </w:r>
          </w:p>
        </w:tc>
      </w:tr>
      <w:tr>
        <w:tc>
          <w:tcPr>
            <w:tcW w:w="0" w:type="auto"/>
          </w:tcPr>
          <w:p/>
        </w:tc>
        <w:tc>
          <w:tcPr>
            <w:tcW w:w="0" w:type="auto"/>
          </w:tcPr>
          <w:p/>
        </w:tc>
      </w:tr>
      <w:tr>
        <w:tc>
          <w:tcPr>
            <w:tcW w:w="0" w:type="auto"/>
          </w:tcPr>
          <w:p/>
        </w:tc>
        <w:tc>
          <w:tcPr>
            <w:tcW w:w="0" w:type="auto"/>
          </w:tcPr>
          <w:p>
            <w:r>
              <w:t xml:space="preserve">One </w:t>
            </w:r>
          </w:p>
        </w:tc>
      </w:tr>
      <w:tr>
        <w:tc>
          <w:tcPr>
            <w:tcW w:w="0" w:type="auto"/>
          </w:tcPr>
          <w:p/>
        </w:tc>
        <w:tc>
          <w:tcPr>
            <w:tcW w:w="0" w:type="auto"/>
          </w:tcPr>
          <w:p>
            <w:r>
              <w:t xml:space="preserve">Two </w:t>
            </w:r>
          </w:p>
        </w:tc>
      </w:tr>
      <w:tr>
        <w:tc>
          <w:tcPr>
            <w:tcW w:w="0" w:type="auto"/>
          </w:tcPr>
          <w:p/>
        </w:tc>
        <w:tc>
          <w:tcPr>
            <w:tcW w:w="0" w:type="auto"/>
          </w:tcPr>
          <w:p>
            <w:r>
              <w:t xml:space="preserve">Three </w:t>
            </w:r>
          </w:p>
        </w:tc>
      </w:tr>
      <w:tr>
        <w:tc>
          <w:tcPr>
            <w:tcW w:w="0" w:type="auto"/>
          </w:tcPr>
          <w:p/>
        </w:tc>
        <w:tc>
          <w:tcPr>
            <w:tcW w:w="0" w:type="auto"/>
          </w:tcPr>
          <w:p>
            <w:r>
              <w:t xml:space="preserve">Four with a very long line to demonstrate that the hanging indent for the list is working correctly. </w:t>
            </w:r>
          </w:p>
        </w:tc>
      </w:tr>
      <w:tr>
        <w:tc>
          <w:tcPr>
            <w:tcW w:w="0" w:type="auto"/>
          </w:tcPr>
          <w:p/>
        </w:tc>
        <w:tc>
          <w:tcPr>
            <w:tcW w:w="0" w:type="auto"/>
          </w:tcPr>
          <w:p>
            <w:r>
              <w:t xml:space="preserve">Five </w:t>
            </w:r>
          </w:p>
        </w:tc>
      </w:tr>
      <w:tr>
        <w:tc>
          <w:tcPr>
            <w:tcW w:w="0" w:type="auto"/>
          </w:tcPr>
          <w:p/>
        </w:tc>
        <w:tc>
          <w:tcPr>
            <w:tcW w:w="0" w:type="auto"/>
          </w:tcPr>
          <w:p>
            <w:r>
              <w:t xml:space="preserve">Six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t xml:space="preserve">One </w:t>
            </w:r>
          </w:p>
        </w:tc>
      </w:tr>
      <w:tr>
        <w:tc>
          <w:tcPr>
            <w:tcW w:w="0" w:type="auto"/>
          </w:tcPr>
          <w:p/>
        </w:tc>
        <w:tc>
          <w:tcPr>
            <w:tcW w:w="0" w:type="auto"/>
          </w:tcPr>
          <w:p>
            <w:r>
              <w:t xml:space="preserve">Two </w:t>
            </w:r>
          </w:p>
        </w:tc>
      </w:tr>
      <w:tr>
        <w:tc>
          <w:tcPr>
            <w:tcW w:w="0" w:type="auto"/>
          </w:tcPr>
          <w:p/>
        </w:tc>
        <w:tc>
          <w:tcPr>
            <w:tcW w:w="0" w:type="auto"/>
          </w:tcPr>
          <w:p/>
        </w:tc>
      </w:tr>
      <w:tr>
        <w:tc>
          <w:tcPr>
            <w:tcW w:w="0" w:type="auto"/>
          </w:tcPr>
          <w:p/>
        </w:tc>
        <w:tc>
          <w:tcPr>
            <w:tcW w:w="0" w:type="auto"/>
          </w:tcPr>
          <w:p>
            <w:r>
              <w:t xml:space="preserve">We now resume our normal programming </w:t>
            </w:r>
          </w:p>
        </w:tc>
      </w:tr>
      <w:tr>
        <w:tc>
          <w:tcPr>
            <w:tcW w:w="0" w:type="auto"/>
          </w:tcPr>
          <w:p/>
        </w:tc>
        <w:tc>
          <w:tcPr>
            <w:tcW w:w="0" w:type="auto"/>
          </w:tcPr>
          <w:p>
            <w: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8"/>
              </w:rPr>
              <w:t xml:space="preserve">script</w:t>
            </w:r>
          </w:p>
          <w:p>
            <w:r>
              <w:rPr>
                <w:rFonts w:ascii="Ubuntu" w:hAnsi="Ubuntu"/>
                <w:color w:val="000000"/>
                <w:sz w:val="24"/>
              </w:rPr>
              <w:t xml:space="preserve"> and a sub</w:t>
            </w:r>
          </w:p>
          <w:p>
            <w:r>
              <w:rPr>
                <w:rFonts w:ascii="Ubuntu" w:hAnsi="Ubuntu"/>
                <w:color w:val="000000"/>
                <w:sz w:val="18"/>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t xml:space="preserve">A paragraph with styled text: </w:t>
            </w:r>
          </w:p>
          <w:p>
            <w:r>
              <w:rPr>
                <w:rFonts w:ascii="Ubuntu" w:hAnsi="Ubuntu"/>
                <w:i/>
                <w:color w:val="808080"/>
                <w:sz w:val="24"/>
              </w:rPr>
              <w:t xml:space="preserve">subtle emphasis  </w:t>
            </w:r>
          </w:p>
          <w:p>
            <w:r>
              <w:t xml:space="preserve">followed by </w:t>
            </w:r>
          </w:p>
          <w:p>
            <w:r>
              <w:rPr>
                <w:rFonts w:ascii="Ubuntu" w:hAnsi="Ubuntu"/>
                <w:b/>
                <w:color w:val="000000"/>
                <w:sz w:val="24"/>
              </w:rPr>
              <w:t xml:space="preserve">strong text </w:t>
            </w:r>
          </w:p>
          <w:p>
            <w:r>
              <w:t xml:space="preserve">and </w:t>
            </w:r>
          </w:p>
          <w:p>
            <w:r>
              <w:rPr>
                <w:rFonts w:ascii="Ubuntu" w:hAnsi="Ubuntu"/>
                <w:b/>
                <w:i/>
                <w:color w:val="4F81BD"/>
                <w:sz w:val="24"/>
              </w:rPr>
              <w:t xml:space="preserve">intense emphasis</w:t>
            </w:r>
          </w:p>
          <w:p>
            <w:r>
              <w:t xml:space="preserve">. This paragraph uses document wide styles for styling rather than inline text properties as demonstrated in the previous paragraph — calibre can handle both with equal ease. </w:t>
            </w:r>
          </w:p>
        </w:tc>
      </w:tr>
      <w:tr>
        <w:tc>
          <w:tcPr>
            <w:tcW w:w="0" w:type="auto"/>
          </w:tcPr>
          <w:p>
            <w:r>
              <w:t xml:space="preserve">Fun with fonts </w:t>
            </w:r>
          </w:p>
        </w:tc>
      </w:tr>
      <w:tr>
        <w:tc>
          <w:tcPr>
            <w:tcW w:w="0" w:type="auto"/>
          </w:tcPr>
          <w:p>
            <w:r>
              <w:t xml:space="preserve">This document has embedded the Ubuntu font family. The body text is in the Ubuntu typeface, here is </w:t>
            </w:r>
          </w:p>
          <w:p>
            <w:r>
              <w:rPr>
                <w:rFonts w:ascii="Ubuntu Mono" w:hAnsi="Ubuntu Mono"/>
                <w:color w:val="000000"/>
                <w:sz w:val="24"/>
              </w:rPr>
              <w:t xml:space="preserve">some text in the Ubuntu Mono typeface, notice how every letter has the same width, even i and m</w:t>
            </w:r>
          </w:p>
          <w:p>
            <w:r>
              <w:t xml:space="preserve">. Every embedded font will automatically be embedded in the output ebook during conversion.  </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r>
          </w:p>
          <w:p>
            <w:r>
              <w:br/>
            </w:r>
          </w:p>
          <w:p>
            <w: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c>
          <w:tcPr>
            <w:tcW w:w="0" w:type="auto"/>
          </w:tcPr>
          <w:p/>
        </w:tc>
        <w:tc>
          <w:tcPr>
            <w:tcW w:w="0" w:type="auto"/>
          </w:tcPr>
          <w:p/>
        </w:tc>
        <w:tc>
          <w:tcPr>
            <w:tcW w:w="0" w:type="auto"/>
          </w:tcPr>
          <w:p/>
        </w:tc>
        <w:tc>
          <w:tcPr>
            <w:tcW w:w="0" w:type="auto"/>
          </w:tcPr>
          <w:p/>
        </w:tc>
      </w:tr>
      <w:tr>
        <w:tc>
          <w:tcPr>
            <w:tcW w:w="0" w:type="auto"/>
          </w:tcPr>
          <w:p>
            <w:r>
              <w:t xml:space="preserve">Point B </w:t>
            </w:r>
          </w:p>
        </w:tc>
        <w:tc>
          <w:tcPr>
            <w:tcW w:w="0" w:type="auto"/>
          </w:tcPr>
          <w:p>
            <w:r>
              <w:t xml:space="preserve">87 </w:t>
            </w:r>
          </w:p>
        </w:tc>
        <w:tc>
          <w:tcPr>
            <w:tcW w:w="0" w:type="auto"/>
          </w:tcPr>
          <w:p>
            <w:r>
              <w:t xml:space="preserve">— </w:t>
            </w:r>
          </w:p>
        </w:tc>
        <w:tc>
          <w:tcPr>
            <w:tcW w:w="0" w:type="auto"/>
          </w:tcPr>
          <w:p/>
        </w:tc>
        <w:tc>
          <w:tcPr>
            <w:tcW w:w="0" w:type="auto"/>
          </w:tcPr>
          <w:p/>
        </w:tc>
        <w:tc>
          <w:tcPr>
            <w:tcW w:w="0" w:type="auto"/>
          </w:tcP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c>
          <w:tcPr>
            <w:tcW w:w="0" w:type="auto"/>
          </w:tcPr>
          <w:p/>
        </w:tc>
        <w:tc>
          <w:tcPr>
            <w:tcW w:w="0" w:type="auto"/>
          </w:tcP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c>
          <w:tcPr>
            <w:tcW w:w="0" w:type="auto"/>
          </w:tcP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Next, we see a table with special formatting in various locations. Notice how the formatting for the header row and sub header rows is preserved. </w:t>
            </w:r>
          </w:p>
        </w:tc>
      </w:tr>
      <w:tr>
        <w:tc>
          <w:tcPr>
            <w:tcW w:w="0" w:type="auto"/>
          </w:tcPr>
          <w:p/>
        </w:tc>
        <w:tc>
          <w:tcPr>
            <w:tcW w:w="0" w:type="auto"/>
          </w:tcPr>
          <w:p/>
        </w:tc>
        <w:tc>
          <w:tcPr>
            <w:tcW w:w="0" w:type="auto"/>
          </w:tcPr>
          <w:p/>
        </w:tc>
        <w:tc>
          <w:tcPr>
            <w:tcW w:w="0" w:type="auto"/>
          </w:tcP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t xml:space="preserve">Undergraduate</w:t>
            </w:r>
          </w:p>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tc>
        <w:tc>
          <w:tcPr>
            <w:tcW w:w="0" w:type="auto"/>
          </w:tcPr>
          <w:p>
            <w:r>
              <w:t xml:space="preserve">Graduate</w:t>
            </w:r>
          </w:p>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t xml:space="preserve">Source:</w:t>
            </w:r>
          </w:p>
          <w:p>
            <w:r>
              <w:rPr>
                <w:rFonts w:ascii="Ubuntu" w:hAnsi="Ubuntu"/>
                <w:color w:val="000000"/>
                <w:sz w:val="20"/>
              </w:rPr>
              <w:t xml:space="preserve"> Fictitious data, for illustration purposes only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tc>
        <w:tc>
          <w:tcPr>
            <w:tcW w:w="0" w:type="auto"/>
          </w:tcPr>
          <w:p/>
        </w:tc>
        <w:tc>
          <w:tcPr>
            <w:tcW w:w="0" w:type="auto"/>
          </w:tcPr>
          <w:p/>
        </w:tc>
        <w:tc>
          <w:tcPr>
            <w:tcW w:w="0" w:type="auto"/>
          </w:tcP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tc>
        <w:tc>
          <w:tcPr>
            <w:tcW w:w="0" w:type="auto"/>
          </w:tcPr>
          <w:p>
            <w:r>
              <w:t xml:space="preserve">Four </w:t>
            </w:r>
          </w:p>
        </w:tc>
      </w:tr>
      <w:tr>
        <w:tc>
          <w:tcPr>
            <w:tcW w:w="0" w:type="auto"/>
          </w:tcP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gridSpan w:val="13"/>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gridSpan w:val="2"/>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gridSpan w:val="2"/>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gridSpan w:val="2"/>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gridSpan w:val="2"/>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gridSpan w:val="2"/>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30 </w:t>
            </w:r>
          </w:p>
        </w:tc>
        <w:tc>
          <w:tcPr>
            <w:tcW w:w="0" w:type="auto"/>
          </w:tcPr>
          <w:p/>
        </w:tc>
        <w:tc>
          <w:tcPr>
            <w:tcW w:w="0" w:type="auto"/>
          </w:tcPr>
          <w:p>
            <w:r>
              <w:t xml:space="preserve">31 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Structural Elements </w:t>
            </w:r>
          </w:p>
        </w:tc>
      </w:tr>
      <w:tr>
        <w:tc>
          <w:tcPr>
            <w:tcW w:w="0" w:type="auto"/>
          </w:tcP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t xml:space="preserve">Footnotes</w:t>
            </w:r>
          </w:p>
          <w:p>
            <w:r>
              <w:rPr>
                <w:rFonts w:ascii="Ubuntu" w:hAnsi="Ubuntu"/>
                <w:color w:val="000000"/>
                <w:sz w:val="18"/>
              </w:rPr>
              <w:t xml:space="preserve">1</w:t>
            </w:r>
          </w:p>
          <w:p>
            <w:r>
              <w:t xml:space="preserve"> and endnotes</w:t>
            </w:r>
          </w:p>
          <w:p>
            <w:r>
              <w:rPr>
                <w:rFonts w:ascii="Ubuntu" w:hAnsi="Ubuntu"/>
                <w:color w:val="000000"/>
                <w:sz w:val="18"/>
              </w:rPr>
              <w:t xml:space="preserve">i</w:t>
            </w:r>
          </w:p>
          <w:p>
            <w:r>
              <w:t xml:space="preserve"> are automatically recognized and both are converted to endnotes, with backlinks for maximum ease of use in ebook devices. </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t xml:space="preserve">. Then we have a link that points back to the section on </w:t>
            </w:r>
          </w:p>
          <w:p>
            <w:r>
              <w:rPr>
                <w:rFonts w:ascii="Ubuntu" w:hAnsi="Ubuntu"/>
                <w:color w:val="0000FF"/>
                <w:sz w:val="24"/>
                <w:u w:val="single"/>
              </w:rPr>
              <w:t xml:space="preserve">paragraph level formatting</w:t>
            </w:r>
          </w:p>
          <w:p>
            <w: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tc>
      </w:tr>
      <w:tr>
        <w:tc>
          <w:tcPr>
            <w:tcW w:w="0" w:type="auto"/>
          </w:tcPr>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5731510" cy="5731510"/>
                          </a:xfrm>
                          <a:prstGeom prst="rect">
                            <a:avLst/>
                          </a:prstGeom>
                        </pic:spPr>
                      </pic:pic>
                    </a:graphicData>
                  </a:graphic>
                </wp:inline>
              </w:drawing>
            </w: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t xml:space="preserve">, not necessarily where it appears on the page in Word. </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bl>
    <w:p>
      <w:pPr>
        <w:pStyle w:val="Heading2"/>
      </w:pPr>
      <w:r>
        <w:t xml:space="preserve">Chart_Sheet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Charts</w:t>
            </w:r>
          </w:p>
        </w:tc>
      </w:tr>
      <w:tr>
        <w:tc>
          <w:tcPr>
            <w:tcW w:w="0" w:type="auto"/>
          </w:tcPr>
          <w:p/>
        </w:tc>
        <w:tc>
          <w:tcPr>
            <w:tcW w:w="0" w:type="auto"/>
          </w:tcPr>
          <w:p/>
        </w:tc>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tc>
        <w:tc>
          <w:tcPr>
            <w:tcW w:w="0" w:type="auto"/>
          </w:tcPr>
          <w:p/>
        </w:tc>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D2</w:t>
                  </w:r>
                </w:p>
              </w:tc>
              <w:tc>
                <w:tcPr>
                  <w:tcW w:w="0" w:type="auto"/>
                </w:tcPr>
                <w:p>
                  <w:r>
                    <w:t xml:space="preserve">Series E2</w:t>
                  </w:r>
                </w:p>
              </w:tc>
              <w:tc>
                <w:tcPr>
                  <w:tcW w:w="0" w:type="auto"/>
                </w:tcPr>
                <w:p>
                  <w:r>
                    <w:t xml:space="preserve">Series F2</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p/>
        </w:tc>
        <w:tc>
          <w:tcPr>
            <w:tcW w:w="0" w:type="auto"/>
          </w:tcPr>
          <w:p/>
        </w:tc>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tc>
        <w:tc>
          <w:tcPr>
            <w:tcW w:w="0" w:type="auto"/>
          </w:tcPr>
          <w:p/>
        </w:tc>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tc>
        <w:tc>
          <w:tcPr>
            <w:tcW w:w="0" w:type="auto"/>
          </w:tcPr>
          <w:p/>
        </w:tc>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