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spacing w:after="300"/>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w:t>
      </w:r>
      <w:r>
        <w:t xml:space="preserve">links, dropcaps and </w:t>
      </w:r>
      <w:r>
        <w:t xml:space="preserve">various</w:t>
      </w:r>
      <w:r>
        <w:t xml:space="preserve">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
      <w:pPr>
        <w:pStyle w:val="Heading1"/>
        <w:spacing w:before="480"/>
        <w:jc w:val="center"/>
      </w:pPr>
      <w:bookmarkStart w:id="4" w:name="_Toc2054249818"/>
      <w:bookmarkStart w:id="5" w:name="text_formatting"/>
      <w:r>
        <w:rPr>
          <w:b/>
          <w:color w:val="365F91"/>
          <w:sz w:val="28"/>
        </w:rPr>
        <w:t xml:space="preserve">Text Formatting</w:t>
      </w:r>
      <w:bookmarkEnd w:id="4"/>
      <w:bookmarkEnd w:id="5"/>
    </w:p>
    <w:p>
      <w:pPr>
        <w:pStyle w:val="Heading2"/>
        <w:spacing w:before="200"/>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r>
        <w:br/>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w:t>
      </w:r>
      <w:r>
        <w:t xml:space="preserve"> </w:t>
      </w:r>
      <w:r>
        <w:t xml:space="preserve">box</w:t>
      </w:r>
      <w:r>
        <w:t xml:space="preserve">. Some text</w:t>
      </w:r>
      <w:r>
        <w:t xml:space="preserve"> in </w:t>
      </w:r>
      <w:r>
        <w:rPr>
          <w:color w:val="FFFFFF"/>
          <w:shd w:val="clear" w:color="auto" w:fill="000000"/>
        </w:rPr>
        <w:t xml:space="preserve">inverse video</w:t>
      </w:r>
      <w:r>
        <w:t xml:space="preserve">.</w:t>
      </w:r>
    </w:p>
    <w:p>
      <w:r>
        <w:t xml:space="preserve">A paragraph with styled text: </w:t>
      </w:r>
      <w:r>
        <w:rPr>
          <w:i/>
          <w:color w:val="808080"/>
        </w:rPr>
        <w:t xml:space="preserve">subtle emphasis</w:t>
      </w:r>
      <w:r>
        <w:rPr>
          <w:i/>
          <w:color w:val="808080"/>
        </w:rPr>
        <w:t xml:space="preserve">  </w:t>
      </w:r>
      <w:r>
        <w:t xml:space="preserve">f</w:t>
      </w:r>
      <w:r>
        <w:t xml:space="preserve">ollowed by </w:t>
      </w:r>
      <w:r>
        <w:rPr>
          <w:b/>
        </w:rPr>
        <w:t xml:space="preserve">strong text </w:t>
      </w:r>
      <w:r>
        <w:t xml:space="preserve">a</w:t>
      </w:r>
      <w:r>
        <w:t xml:space="preserve">nd </w:t>
      </w:r>
      <w:r>
        <w:rPr>
          <w:b/>
          <w:i/>
          <w:color w:val="4F81BD"/>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p>
    <w:p>
      <w:pPr>
        <w:pStyle w:val="Heading2"/>
        <w:spacing w:before="200"/>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p>
    <w:p>
      <w:pPr>
        <w:pStyle w:val="Heading2"/>
        <w:spacing w:before="200"/>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spacing w:before="600"/>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spacing w:before="480"/>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pPr>
        <w:spacing w:before="240" w:after="240"/>
      </w:pPr>
      <w:r>
        <w:t xml:space="preserve">Next, we see a table with special formatting in various locations. Notice how the f</w:t>
      </w:r>
      <w:r>
        <w:t xml:space="preserve">ormatting for the h</w:t>
      </w:r>
      <w:r>
        <w:t xml:space="preserve">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pPr>
              <w:spacing w:after="200"/>
            </w:pPr>
            <w:r>
              <w:rPr>
                <w:sz w:val="22"/>
              </w:rPr>
              <w:t xml:space="preserve">110</w:t>
            </w:r>
          </w:p>
        </w:tc>
        <w:tc>
          <w:tcPr>
            <w:tcW w:w="0" w:type="auto"/>
          </w:tcPr>
          <w:p>
            <w:pPr>
              <w:spacing w:after="200"/>
            </w:pPr>
            <w:r>
              <w:rPr>
                <w:sz w:val="22"/>
              </w:rPr>
              <w:t xml:space="preserve">103</w:t>
            </w:r>
          </w:p>
        </w:tc>
        <w:tc>
          <w:tcPr>
            <w:tcW w:w="0" w:type="auto"/>
          </w:tcPr>
          <w:p>
            <w:pPr>
              <w:spacing w:after="200"/>
            </w:pPr>
            <w:r>
              <w:rPr>
                <w:sz w:val="22"/>
              </w:rPr>
              <w:t xml:space="preserve">+7</w:t>
            </w:r>
          </w:p>
        </w:tc>
      </w:tr>
      <w:tr>
        <w:tc>
          <w:tcPr>
            <w:tcW w:w="0" w:type="auto"/>
          </w:tcPr>
          <w:p>
            <w:r>
              <w:t xml:space="preserve">Oak Institute</w:t>
            </w:r>
          </w:p>
        </w:tc>
        <w:tc>
          <w:tcPr>
            <w:tcW w:w="0" w:type="auto"/>
          </w:tcPr>
          <w:p>
            <w:pPr>
              <w:spacing w:after="200"/>
            </w:pPr>
            <w:r>
              <w:rPr>
                <w:sz w:val="22"/>
              </w:rPr>
              <w:t xml:space="preserve">202</w:t>
            </w:r>
          </w:p>
        </w:tc>
        <w:tc>
          <w:tcPr>
            <w:tcW w:w="0" w:type="auto"/>
          </w:tcPr>
          <w:p>
            <w:pPr>
              <w:spacing w:after="200"/>
            </w:pPr>
            <w:r>
              <w:rPr>
                <w:sz w:val="22"/>
              </w:rPr>
              <w:t xml:space="preserve">210</w:t>
            </w:r>
          </w:p>
        </w:tc>
        <w:tc>
          <w:tcPr>
            <w:tcW w:w="0" w:type="auto"/>
          </w:tcPr>
          <w:p>
            <w:pPr>
              <w:spacing w:after="200"/>
            </w:pPr>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pPr>
              <w:spacing w:after="200"/>
            </w:pPr>
            <w:r>
              <w:rPr>
                <w:sz w:val="22"/>
              </w:rPr>
              <w:t xml:space="preserve">24</w:t>
            </w:r>
          </w:p>
        </w:tc>
        <w:tc>
          <w:tcPr>
            <w:tcW w:w="0" w:type="auto"/>
          </w:tcPr>
          <w:p>
            <w:pPr>
              <w:spacing w:after="200"/>
            </w:pPr>
            <w:r>
              <w:rPr>
                <w:sz w:val="22"/>
              </w:rPr>
              <w:t xml:space="preserve">20</w:t>
            </w:r>
          </w:p>
        </w:tc>
        <w:tc>
          <w:tcPr>
            <w:tcW w:w="0" w:type="auto"/>
          </w:tcPr>
          <w:p>
            <w:pPr>
              <w:spacing w:after="200"/>
            </w:pPr>
            <w:r>
              <w:rPr>
                <w:sz w:val="22"/>
              </w:rPr>
              <w:t xml:space="preserve">+4</w:t>
            </w:r>
          </w:p>
        </w:tc>
      </w:tr>
      <w:tr>
        <w:tc>
          <w:tcPr>
            <w:tcW w:w="0" w:type="auto"/>
          </w:tcPr>
          <w:p>
            <w:r>
              <w:t xml:space="preserve">Elm College</w:t>
            </w:r>
          </w:p>
        </w:tc>
        <w:tc>
          <w:tcPr>
            <w:tcW w:w="0" w:type="auto"/>
          </w:tcPr>
          <w:p>
            <w:pPr>
              <w:spacing w:after="200"/>
            </w:pPr>
            <w:r>
              <w:rPr>
                <w:sz w:val="22"/>
              </w:rPr>
              <w:t xml:space="preserve">43</w:t>
            </w:r>
          </w:p>
        </w:tc>
        <w:tc>
          <w:tcPr>
            <w:tcW w:w="0" w:type="auto"/>
          </w:tcPr>
          <w:p>
            <w:pPr>
              <w:spacing w:after="200"/>
            </w:pPr>
            <w:r>
              <w:rPr>
                <w:sz w:val="22"/>
              </w:rPr>
              <w:t xml:space="preserve">53</w:t>
            </w:r>
          </w:p>
        </w:tc>
        <w:tc>
          <w:tcPr>
            <w:tcW w:w="0" w:type="auto"/>
          </w:tcPr>
          <w:p>
            <w:pPr>
              <w:spacing w:after="200"/>
            </w:pPr>
            <w:r>
              <w:rPr>
                <w:sz w:val="22"/>
              </w:rPr>
              <w:t xml:space="preserve">-10</w:t>
            </w:r>
          </w:p>
        </w:tc>
      </w:tr>
      <w:tr>
        <w:tc>
          <w:tcPr>
            <w:tcW w:w="0" w:type="auto"/>
          </w:tcPr>
          <w:p>
            <w:r>
              <w:t xml:space="preserve">Total</w:t>
            </w:r>
          </w:p>
        </w:tc>
        <w:tc>
          <w:tcPr>
            <w:tcW w:w="0" w:type="auto"/>
          </w:tcPr>
          <w:p>
            <w:pPr>
              <w:spacing w:after="200"/>
            </w:pPr>
            <w:r>
              <w:rPr>
                <w:sz w:val="22"/>
              </w:rPr>
              <w:t xml:space="preserve">998</w:t>
            </w:r>
          </w:p>
        </w:tc>
        <w:tc>
          <w:tcPr>
            <w:tcW w:w="0" w:type="auto"/>
          </w:tcPr>
          <w:p>
            <w:pPr>
              <w:spacing w:after="200"/>
            </w:pPr>
            <w:r>
              <w:rPr>
                <w:sz w:val="22"/>
              </w:rPr>
              <w:t xml:space="preserve">908</w:t>
            </w:r>
          </w:p>
        </w:tc>
        <w:tc>
          <w:tcPr>
            <w:tcW w:w="0" w:type="auto"/>
          </w:tcPr>
          <w:p>
            <w:pPr>
              <w:spacing w:after="200"/>
            </w:pPr>
            <w:r>
              <w:rPr>
                <w:sz w:val="22"/>
              </w:rPr>
              <w:t xml:space="preserve">90</w:t>
            </w:r>
          </w:p>
        </w:tc>
      </w:tr>
    </w:tbl>
    <w:p>
      <w:r>
        <w:rPr>
          <w:i/>
          <w:color w:val="808080"/>
          <w:sz w:val="20"/>
        </w:rPr>
        <w:t xml:space="preserve">Source:</w:t>
      </w:r>
      <w:r>
        <w:rPr>
          <w:sz w:val="20"/>
        </w:rPr>
        <w:t xml:space="preserve"> Fictitious data, for illustration purposes only</w:t>
      </w:r>
    </w:p>
    <w:p>
      <w:pPr>
        <w:spacing w:before="240"/>
      </w:pPr>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pPr>
                    <w:spacing w:before="240"/>
                  </w:pPr>
                  <w:r>
                    <w:t xml:space="preserve">One</w:t>
                  </w:r>
                </w:p>
                <w:p>
                  <w:pPr>
                    <w:spacing w:before="240"/>
                  </w:pPr>
                  <w:r>
                    <w:t xml:space="preserve">Three</w:t>
                  </w:r>
                </w:p>
              </w:tc>
              <w:tc>
                <w:tcPr>
                  <w:tcW w:w="0" w:type="auto"/>
                </w:tcPr>
                <w:p>
                  <w:pPr>
                    <w:spacing w:before="240"/>
                  </w:pPr>
                  <w:r>
                    <w:t xml:space="preserve">Two</w:t>
                  </w:r>
                </w:p>
              </w:tc>
            </w:tr>
            <w:tr>
              <w:tc>
                <w:tcPr>
                  <w:tcW w:w="0" w:type="auto"/>
                  <w:vMerge/>
                </w:tcPr>
                <w:p/>
              </w:tc>
              <w:tc>
                <w:tcPr>
                  <w:tcW w:w="0" w:type="auto"/>
                </w:tcPr>
                <w:p>
                  <w:pPr>
                    <w:spacing w:before="240"/>
                  </w:pPr>
                  <w:r>
                    <w:t xml:space="preserve">Four</w:t>
                  </w:r>
                </w:p>
              </w:tc>
            </w:tr>
          </w:tbl>
          <w:p>
            <w:pPr>
              <w:spacing w:before="240"/>
            </w:pPr>
          </w:p>
        </w:tc>
        <w:tc>
          <w:tcPr>
            <w:tcW w:w="0" w:type="auto"/>
          </w:tcPr>
          <w:p>
            <w:pPr>
              <w:spacing w:before="240"/>
            </w:pPr>
            <w:r>
              <w:t xml:space="preserve">To the left is a table inside a table, with some cells merged.</w:t>
            </w:r>
          </w:p>
        </w:tc>
      </w:tr>
    </w:tbl>
    <w:p>
      <w:pPr>
        <w:spacing w:before="240"/>
      </w:pPr>
    </w:p>
    <w:p>
      <w:pPr>
        <w:spacing w:before="240"/>
      </w:pPr>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spacing w:before="480"/>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 </w:t>
      </w:r>
    </w:p>
    <w:p>
      <w:pPr>
        <w:pStyle w:val="Heading2"/>
        <w:spacing w:before="200"/>
      </w:pPr>
      <w:bookmarkStart w:id="17" w:name="_Toc201580556"/>
      <w:bookmarkStart w:id="18" w:name="footnotes_endnotes"/>
      <w:r>
        <w:rPr>
          <w:b/>
          <w:color w:val="4F81BD"/>
          <w:sz w:val="26"/>
        </w:rPr>
        <w:t xml:space="preserve">Footnotes &amp; Endnotes</w:t>
      </w:r>
      <w:bookmarkEnd w:id="17"/>
      <w:bookmarkEnd w:id="18"/>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spacing w:before="200"/>
      </w:pPr>
      <w:bookmarkStart w:id="19" w:name="_Toc1977424358"/>
      <w:bookmarkStart w:id="20" w:name="dropcaps"/>
      <w:r>
        <w:rPr>
          <w:b/>
          <w:color w:val="4F81BD"/>
          <w:sz w:val="26"/>
        </w:rPr>
        <w:t xml:space="preserve">Dropcaps</w:t>
      </w:r>
      <w:bookmarkEnd w:id="19"/>
      <w:bookmarkEnd w:id="20"/>
    </w:p>
    <w:p>
      <w:pPr>
        <w:spacing w:line="951" w:lineRule="exact"/>
      </w:pPr>
      <w:r>
        <w:rPr>
          <w:sz w:val="117"/>
        </w:rPr>
        <w:t xml:space="preserve">D</w:t>
      </w:r>
    </w:p>
    <w:p>
      <w:r>
        <w:t xml:space="preserve">rop</w:t>
      </w:r>
      <w:r>
        <w:t xml:space="preserve"> caps are used to emphasize the leading paragraph at the start of a section. In </w:t>
      </w:r>
      <w:r>
        <w:t xml:space="preserve">Word</w:t>
      </w:r>
      <w:r>
        <w:t xml:space="preserve"> it is possible to s</w:t>
      </w:r>
      <w:r>
        <w:t xml:space="preserve">p</w:t>
      </w:r>
      <w:r>
        <w:t xml:space="preserve">ecify how many lines of text a drop-cap should use.</w:t>
      </w:r>
    </w:p>
    <w:p>
      <w:pPr>
        <w:pStyle w:val="Heading2"/>
        <w:spacing w:before="200"/>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
        <w:r>
          <w:rPr>
            <w:rStyle w:val="Hyperlink"/>
            <w:color w:val="0000FF"/>
            <w:u w:val="single"/>
          </w:rPr>
          <w:t xml:space="preserve">calibre download page</w:t>
        </w:r>
      </w:hyperlink>
      <w:r>
        <w:t xml:space="preserve">.</w:t>
      </w:r>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spacing w:before="200"/>
      </w:pPr>
      <w:bookmarkStart w:id="23" w:name="_Toc64145348"/>
      <w:bookmarkStart w:id="24" w:name="table_of_contents"/>
      <w:r>
        <w:rPr>
          <w:b/>
          <w:color w:val="4F81BD"/>
          <w:sz w:val="26"/>
        </w:rPr>
        <w:t xml:space="preserve">Table of Contents</w:t>
      </w:r>
      <w:bookmarkEnd w:id="23"/>
      <w:bookmarkEnd w:id="24"/>
    </w:p>
    <w:p>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p>
    <w:p>
      <w:pPr>
        <w:spacing w:before="240" w:after="120"/>
      </w:pPr>
      <w:hyperlink w:anchor="_Toc581531977">
        <w:r>
          <w:rPr>
            <w:rStyle w:val="Hyperlink"/>
            <w:b/>
            <w:color w:val="0000FF"/>
            <w:sz w:val="20"/>
            <w:u w:val="single"/>
          </w:rPr>
          <w:t xml:space="preserve">Demonstration of DOCX support in calibre</w:t>
        </w:r>
        <w:r>
          <w:rPr>
            <w:rStyle w:val="Hyperlink"/>
            <w:b/>
            <w:sz w:val="20"/>
          </w:rPr>
          <w:tab/>
        </w:r>
        <w:r>
          <w:rPr>
            <w:rStyle w:val="Hyperlink"/>
            <w:b/>
            <w:color w:val="0000FF"/>
            <w:sz w:val="20"/>
            <w:u w:val="single"/>
          </w:rPr>
          <w:t xml:space="preserve">1</w:t>
        </w:r>
      </w:hyperlink>
    </w:p>
    <w:p>
      <w:pPr>
        <w:spacing w:before="240" w:after="120"/>
      </w:pPr>
      <w:hyperlink w:anchor="_Toc2054249818">
        <w:r>
          <w:rPr>
            <w:rStyle w:val="Hyperlink"/>
            <w:b/>
            <w:color w:val="0000FF"/>
            <w:sz w:val="20"/>
            <w:u w:val="single"/>
          </w:rPr>
          <w:t xml:space="preserve">Text Formatting</w:t>
        </w:r>
        <w:r>
          <w:rPr>
            <w:rStyle w:val="Hyperlink"/>
            <w:b/>
            <w:sz w:val="20"/>
          </w:rPr>
          <w:tab/>
        </w:r>
        <w:r>
          <w:rPr>
            <w:rStyle w:val="Hyperlink"/>
            <w:b/>
            <w:color w:val="0000FF"/>
            <w:sz w:val="20"/>
            <w:u w:val="single"/>
          </w:rPr>
          <w:t xml:space="preserve">1</w:t>
        </w:r>
      </w:hyperlink>
    </w:p>
    <w:p>
      <w:pPr>
        <w:spacing w:before="120"/>
        <w:ind w:left="240"/>
      </w:pPr>
      <w:hyperlink w:anchor="_Toc2137712100">
        <w:r>
          <w:rPr>
            <w:rStyle w:val="Hyperlink"/>
            <w:i/>
            <w:color w:val="0000FF"/>
            <w:sz w:val="20"/>
            <w:u w:val="single"/>
          </w:rPr>
          <w:t xml:space="preserve">Inline formatting</w:t>
        </w:r>
        <w:r>
          <w:rPr>
            <w:rStyle w:val="Hyperlink"/>
            <w:i/>
            <w:sz w:val="20"/>
          </w:rPr>
          <w:tab/>
        </w:r>
        <w:r>
          <w:rPr>
            <w:rStyle w:val="Hyperlink"/>
            <w:i/>
            <w:color w:val="0000FF"/>
            <w:sz w:val="20"/>
            <w:u w:val="single"/>
          </w:rPr>
          <w:t xml:space="preserve">2</w:t>
        </w:r>
      </w:hyperlink>
    </w:p>
    <w:p>
      <w:pPr>
        <w:spacing w:before="120"/>
        <w:ind w:left="240"/>
      </w:pPr>
      <w:hyperlink w:anchor="_Toc1074133965">
        <w:r>
          <w:rPr>
            <w:rStyle w:val="Hyperlink"/>
            <w:i/>
            <w:color w:val="0000FF"/>
            <w:sz w:val="20"/>
            <w:u w:val="single"/>
          </w:rPr>
          <w:t xml:space="preserve">Fun with fonts</w:t>
        </w:r>
        <w:r>
          <w:rPr>
            <w:rStyle w:val="Hyperlink"/>
            <w:i/>
            <w:sz w:val="20"/>
          </w:rPr>
          <w:tab/>
        </w:r>
        <w:r>
          <w:rPr>
            <w:rStyle w:val="Hyperlink"/>
            <w:i/>
            <w:color w:val="0000FF"/>
            <w:sz w:val="20"/>
            <w:u w:val="single"/>
          </w:rPr>
          <w:t xml:space="preserve">2</w:t>
        </w:r>
      </w:hyperlink>
    </w:p>
    <w:p>
      <w:pPr>
        <w:spacing w:before="120"/>
        <w:ind w:left="240"/>
      </w:pPr>
      <w:hyperlink w:anchor="_Toc2022725662">
        <w:r>
          <w:rPr>
            <w:rStyle w:val="Hyperlink"/>
            <w:i/>
            <w:color w:val="0000FF"/>
            <w:sz w:val="20"/>
            <w:u w:val="single"/>
          </w:rPr>
          <w:t xml:space="preserve">Paragraph level formatting</w:t>
        </w:r>
        <w:r>
          <w:rPr>
            <w:rStyle w:val="Hyperlink"/>
            <w:i/>
            <w:sz w:val="20"/>
          </w:rPr>
          <w:tab/>
        </w:r>
        <w:r>
          <w:rPr>
            <w:rStyle w:val="Hyperlink"/>
            <w:i/>
            <w:color w:val="0000FF"/>
            <w:sz w:val="20"/>
            <w:u w:val="single"/>
          </w:rPr>
          <w:t xml:space="preserve">2</w:t>
        </w:r>
      </w:hyperlink>
    </w:p>
    <w:p>
      <w:pPr>
        <w:spacing w:before="240" w:after="120"/>
      </w:pPr>
      <w:hyperlink w:anchor="_Toc28114276">
        <w:r>
          <w:rPr>
            <w:rStyle w:val="Hyperlink"/>
            <w:b/>
            <w:color w:val="0000FF"/>
            <w:sz w:val="20"/>
            <w:u w:val="single"/>
          </w:rPr>
          <w:t xml:space="preserve">Tables</w:t>
        </w:r>
        <w:r>
          <w:rPr>
            <w:rStyle w:val="Hyperlink"/>
            <w:b/>
            <w:sz w:val="20"/>
          </w:rPr>
          <w:tab/>
        </w:r>
        <w:r>
          <w:rPr>
            <w:rStyle w:val="Hyperlink"/>
            <w:b/>
            <w:color w:val="0000FF"/>
            <w:sz w:val="20"/>
            <w:u w:val="single"/>
          </w:rPr>
          <w:t xml:space="preserve">2</w:t>
        </w:r>
      </w:hyperlink>
    </w:p>
    <w:p>
      <w:pPr>
        <w:spacing w:before="240" w:after="120"/>
      </w:pPr>
      <w:hyperlink w:anchor="_Toc54889875">
        <w:r>
          <w:rPr>
            <w:rStyle w:val="Hyperlink"/>
            <w:b/>
            <w:color w:val="0000FF"/>
            <w:sz w:val="20"/>
            <w:u w:val="single"/>
          </w:rPr>
          <w:t xml:space="preserve">Structural Elements</w:t>
        </w:r>
        <w:r>
          <w:rPr>
            <w:rStyle w:val="Hyperlink"/>
            <w:b/>
            <w:sz w:val="20"/>
          </w:rPr>
          <w:tab/>
        </w:r>
        <w:r>
          <w:rPr>
            <w:rStyle w:val="Hyperlink"/>
            <w:b/>
            <w:color w:val="0000FF"/>
            <w:sz w:val="20"/>
            <w:u w:val="single"/>
          </w:rPr>
          <w:t xml:space="preserve">4</w:t>
        </w:r>
      </w:hyperlink>
    </w:p>
    <w:p>
      <w:pPr>
        <w:spacing w:before="120"/>
        <w:ind w:left="240"/>
      </w:pPr>
      <w:hyperlink w:anchor="_Toc201580556">
        <w:r>
          <w:rPr>
            <w:rStyle w:val="Hyperlink"/>
            <w:i/>
            <w:color w:val="0000FF"/>
            <w:sz w:val="20"/>
            <w:u w:val="single"/>
          </w:rPr>
          <w:t xml:space="preserve">Footnotes &amp; Endnotes</w:t>
        </w:r>
        <w:r>
          <w:rPr>
            <w:rStyle w:val="Hyperlink"/>
            <w:i/>
            <w:sz w:val="20"/>
          </w:rPr>
          <w:tab/>
        </w:r>
        <w:r>
          <w:rPr>
            <w:rStyle w:val="Hyperlink"/>
            <w:i/>
            <w:color w:val="0000FF"/>
            <w:sz w:val="20"/>
            <w:u w:val="single"/>
          </w:rPr>
          <w:t xml:space="preserve">5</w:t>
        </w:r>
      </w:hyperlink>
    </w:p>
    <w:p>
      <w:pPr>
        <w:spacing w:before="120"/>
        <w:ind w:left="240"/>
      </w:pPr>
      <w:hyperlink w:anchor="_Toc1977424358">
        <w:r>
          <w:rPr>
            <w:rStyle w:val="Hyperlink"/>
            <w:i/>
            <w:color w:val="0000FF"/>
            <w:sz w:val="20"/>
            <w:u w:val="single"/>
          </w:rPr>
          <w:t xml:space="preserve">Dropcaps</w:t>
        </w:r>
        <w:r>
          <w:rPr>
            <w:rStyle w:val="Hyperlink"/>
            <w:i/>
            <w:sz w:val="20"/>
          </w:rPr>
          <w:tab/>
        </w:r>
        <w:r>
          <w:rPr>
            <w:rStyle w:val="Hyperlink"/>
            <w:i/>
            <w:color w:val="0000FF"/>
            <w:sz w:val="20"/>
            <w:u w:val="single"/>
          </w:rPr>
          <w:t xml:space="preserve">5</w:t>
        </w:r>
      </w:hyperlink>
    </w:p>
    <w:p>
      <w:pPr>
        <w:spacing w:before="120"/>
        <w:ind w:left="240"/>
      </w:pPr>
      <w:hyperlink w:anchor="_Toc1233048813">
        <w:r>
          <w:rPr>
            <w:rStyle w:val="Hyperlink"/>
            <w:i/>
            <w:color w:val="0000FF"/>
            <w:sz w:val="20"/>
            <w:u w:val="single"/>
          </w:rPr>
          <w:t xml:space="preserve">Links</w:t>
        </w:r>
        <w:r>
          <w:rPr>
            <w:rStyle w:val="Hyperlink"/>
            <w:i/>
            <w:sz w:val="20"/>
          </w:rPr>
          <w:tab/>
        </w:r>
        <w:r>
          <w:rPr>
            <w:rStyle w:val="Hyperlink"/>
            <w:i/>
            <w:color w:val="0000FF"/>
            <w:sz w:val="20"/>
            <w:u w:val="single"/>
          </w:rPr>
          <w:t xml:space="preserve">5</w:t>
        </w:r>
      </w:hyperlink>
    </w:p>
    <w:p>
      <w:pPr>
        <w:spacing w:before="120"/>
        <w:ind w:left="240"/>
      </w:pPr>
      <w:hyperlink w:anchor="_Toc64145348">
        <w:r>
          <w:rPr>
            <w:rStyle w:val="Hyperlink"/>
            <w:i/>
            <w:color w:val="0000FF"/>
            <w:sz w:val="20"/>
            <w:u w:val="single"/>
          </w:rPr>
          <w:t xml:space="preserve">Table of Contents</w:t>
        </w:r>
        <w:r>
          <w:rPr>
            <w:rStyle w:val="Hyperlink"/>
            <w:i/>
            <w:sz w:val="20"/>
          </w:rPr>
          <w:tab/>
        </w:r>
        <w:r>
          <w:rPr>
            <w:rStyle w:val="Hyperlink"/>
            <w:i/>
            <w:color w:val="0000FF"/>
            <w:sz w:val="20"/>
            <w:u w:val="single"/>
          </w:rPr>
          <w:t xml:space="preserve">5</w:t>
        </w:r>
      </w:hyperlink>
    </w:p>
    <w:p>
      <w:pPr>
        <w:spacing w:before="240" w:after="120"/>
      </w:pPr>
      <w:hyperlink w:anchor="_Toc484565143">
        <w:r>
          <w:rPr>
            <w:rStyle w:val="Hyperlink"/>
            <w:b/>
            <w:color w:val="0000FF"/>
            <w:sz w:val="20"/>
            <w:u w:val="single"/>
          </w:rPr>
          <w:t xml:space="preserve">Images</w:t>
        </w:r>
        <w:r>
          <w:rPr>
            <w:rStyle w:val="Hyperlink"/>
            <w:b/>
            <w:sz w:val="20"/>
          </w:rPr>
          <w:tab/>
        </w:r>
        <w:r>
          <w:rPr>
            <w:rStyle w:val="Hyperlink"/>
            <w:b/>
            <w:color w:val="0000FF"/>
            <w:sz w:val="20"/>
            <w:u w:val="single"/>
          </w:rPr>
          <w:t xml:space="preserve">6</w:t>
        </w:r>
      </w:hyperlink>
    </w:p>
    <w:p>
      <w:pPr>
        <w:spacing w:before="240" w:after="120"/>
      </w:pPr>
      <w:hyperlink w:anchor="_Toc1359965655">
        <w:r>
          <w:rPr>
            <w:rStyle w:val="Hyperlink"/>
            <w:b/>
            <w:color w:val="0000FF"/>
            <w:sz w:val="20"/>
            <w:u w:val="single"/>
          </w:rPr>
          <w:t xml:space="preserve">Lists</w:t>
        </w:r>
        <w:r>
          <w:rPr>
            <w:rStyle w:val="Hyperlink"/>
            <w:b/>
            <w:sz w:val="20"/>
          </w:rPr>
          <w:tab/>
        </w:r>
        <w:r>
          <w:rPr>
            <w:rStyle w:val="Hyperlink"/>
            <w:b/>
            <w:color w:val="0000FF"/>
            <w:sz w:val="20"/>
            <w:u w:val="single"/>
          </w:rPr>
          <w:t xml:space="preserve">7</w:t>
        </w:r>
      </w:hyperlink>
    </w:p>
    <w:p>
      <w:pPr>
        <w:spacing w:before="120"/>
        <w:ind w:left="240"/>
      </w:pPr>
      <w:hyperlink w:anchor="_Toc1958162433">
        <w:r>
          <w:rPr>
            <w:rStyle w:val="Hyperlink"/>
            <w:i/>
            <w:color w:val="0000FF"/>
            <w:sz w:val="20"/>
            <w:u w:val="single"/>
          </w:rPr>
          <w:t xml:space="preserve">Bulleted List</w:t>
        </w:r>
        <w:r>
          <w:rPr>
            <w:rStyle w:val="Hyperlink"/>
            <w:i/>
            <w:sz w:val="20"/>
          </w:rPr>
          <w:tab/>
        </w:r>
        <w:r>
          <w:rPr>
            <w:rStyle w:val="Hyperlink"/>
            <w:i/>
            <w:color w:val="0000FF"/>
            <w:sz w:val="20"/>
            <w:u w:val="single"/>
          </w:rPr>
          <w:t xml:space="preserve">8</w:t>
        </w:r>
      </w:hyperlink>
    </w:p>
    <w:p>
      <w:pPr>
        <w:spacing w:before="120"/>
        <w:ind w:left="240"/>
      </w:pPr>
      <w:hyperlink w:anchor="_Toc415190676">
        <w:r>
          <w:rPr>
            <w:rStyle w:val="Hyperlink"/>
            <w:i/>
            <w:color w:val="0000FF"/>
            <w:sz w:val="20"/>
            <w:u w:val="single"/>
          </w:rPr>
          <w:t xml:space="preserve">Numbered List</w:t>
        </w:r>
        <w:r>
          <w:rPr>
            <w:rStyle w:val="Hyperlink"/>
            <w:i/>
            <w:sz w:val="20"/>
          </w:rPr>
          <w:tab/>
        </w:r>
        <w:r>
          <w:rPr>
            <w:rStyle w:val="Hyperlink"/>
            <w:i/>
            <w:color w:val="0000FF"/>
            <w:sz w:val="20"/>
            <w:u w:val="single"/>
          </w:rPr>
          <w:t xml:space="preserve">8</w:t>
        </w:r>
      </w:hyperlink>
    </w:p>
    <w:p>
      <w:pPr>
        <w:spacing w:before="120"/>
        <w:ind w:left="240"/>
      </w:pPr>
      <w:hyperlink w:anchor="_Toc1093260318">
        <w:r>
          <w:rPr>
            <w:rStyle w:val="Hyperlink"/>
            <w:i/>
            <w:color w:val="0000FF"/>
            <w:sz w:val="20"/>
            <w:u w:val="single"/>
          </w:rPr>
          <w:t xml:space="preserve">Multi-level Lists</w:t>
        </w:r>
        <w:r>
          <w:rPr>
            <w:rStyle w:val="Hyperlink"/>
            <w:i/>
            <w:sz w:val="20"/>
          </w:rPr>
          <w:tab/>
        </w:r>
        <w:r>
          <w:rPr>
            <w:rStyle w:val="Hyperlink"/>
            <w:i/>
            <w:color w:val="0000FF"/>
            <w:sz w:val="20"/>
            <w:u w:val="single"/>
          </w:rPr>
          <w:t xml:space="preserve">8</w:t>
        </w:r>
      </w:hyperlink>
    </w:p>
    <w:p>
      <w:pPr>
        <w:spacing w:before="120"/>
        <w:ind w:left="240"/>
      </w:pPr>
      <w:hyperlink w:anchor="_Toc1471533984">
        <w:r>
          <w:rPr>
            <w:rStyle w:val="Hyperlink"/>
            <w:i/>
            <w:color w:val="0000FF"/>
            <w:sz w:val="20"/>
            <w:u w:val="single"/>
          </w:rPr>
          <w:t xml:space="preserve">Continued Lists</w:t>
        </w:r>
        <w:r>
          <w:rPr>
            <w:rStyle w:val="Hyperlink"/>
            <w:i/>
            <w:sz w:val="20"/>
          </w:rPr>
          <w:tab/>
        </w:r>
        <w:r>
          <w:rPr>
            <w:rStyle w:val="Hyperlink"/>
            <w:i/>
            <w:color w:val="0000FF"/>
            <w:sz w:val="20"/>
            <w:u w:val="single"/>
          </w:rPr>
          <w:t xml:space="preserve">8</w:t>
        </w:r>
      </w:hyperlink>
    </w:p>
    <w:p/>
    <w:p/>
    <w:p>
      <w:pPr>
        <w:pStyle w:val="Heading1"/>
        <w:spacing w:before="480"/>
        <w:jc w:val="center"/>
      </w:pPr>
      <w:bookmarkStart w:id="25" w:name="_Toc484565143"/>
      <w:bookmarkStart w:id="26" w:name="images"/>
      <w:r>
        <w:rPr>
          <w:b/>
          <w:color w:val="365F91"/>
          <w:sz w:val="28"/>
        </w:rPr>
        <w:t xml:space="preserve">Images</w:t>
      </w:r>
      <w:bookmarkEnd w:id="25"/>
      <w:bookmarkEnd w:id="26"/>
    </w:p>
    <w:p>
      <w:r>
        <w:t xml:space="preserve">Centered images like this are useful for large pictures that should be a focus of attention.</w:t>
      </w:r>
      <w:r>
        <w:t xml:space="preserve"> </w:t>
      </w:r>
    </w:p>
    <w:p>
      <w:pPr>
        <w:ind w:firstLine="432"/>
      </w:pPr>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w:t>
      </w:r>
      <w:r>
        <w:rPr>
          <w:rFonts w:ascii="Ubuntu" w:hAnsi="Ubuntu"/>
          <w:sz w:val="24"/>
        </w:rPr>
        <w:t xml:space="preserve">ebooks</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spacing w:before="480"/>
        <w:jc w:val="center"/>
      </w:pPr>
      <w:bookmarkStart w:id="27" w:name="_Toc1359965655"/>
      <w:bookmarkStart w:id="28" w:name="lists"/>
      <w:r>
        <w:rPr>
          <w:b/>
          <w:color w:val="365F91"/>
          <w:sz w:val="28"/>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spacing w:before="200"/>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ind w:left="720"/>
      </w:pPr>
      <w:r>
        <w:t xml:space="preserve">One</w:t>
      </w:r>
    </w:p>
    <w:p>
      <w:pPr>
        <w:pStyle w:val="ListParagraph"/>
        <w:numPr>
          <w:ilvl w:val="0"/>
          <w:numId w:val="1"/>
        </w:numPr>
        <w:ind w:left="720"/>
      </w:pPr>
      <w:r>
        <w:t xml:space="preserve">Two</w:t>
      </w:r>
    </w:p>
    <w:p>
      <w:pPr>
        <w:pStyle w:val="Heading2"/>
        <w:spacing w:before="200"/>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ind w:left="720"/>
      </w:pPr>
      <w:r>
        <w:t xml:space="preserve">One, with a very long line to demonstrate that the hanging indent for the list is working correctly</w:t>
      </w:r>
    </w:p>
    <w:p>
      <w:pPr>
        <w:pStyle w:val="ListParagraph"/>
        <w:numPr>
          <w:ilvl w:val="0"/>
          <w:numId w:val="2"/>
        </w:numPr>
        <w:ind w:left="720"/>
      </w:pPr>
      <w:r>
        <w:t xml:space="preserve">Two</w:t>
      </w:r>
    </w:p>
    <w:p>
      <w:pPr>
        <w:pStyle w:val="Heading2"/>
        <w:spacing w:before="200"/>
      </w:pPr>
      <w:bookmarkStart w:id="33" w:name="_Toc1093260318"/>
      <w:bookmarkStart w:id="34" w:name="multi_level_lists"/>
      <w:r>
        <w:rPr>
          <w:b/>
          <w:color w:val="4F81BD"/>
          <w:sz w:val="26"/>
        </w:rPr>
        <w:t xml:space="preserve">Multi-level List</w:t>
      </w:r>
      <w:r>
        <w:rPr>
          <w:b/>
          <w:color w:val="4F81BD"/>
          <w:sz w:val="26"/>
        </w:rPr>
        <w:t xml:space="preserve">s</w:t>
      </w:r>
      <w:bookmarkEnd w:id="33"/>
      <w:bookmarkEnd w:id="34"/>
    </w:p>
    <w:p>
      <w:pPr>
        <w:pStyle w:val="ListParagraph"/>
        <w:numPr>
          <w:ilvl w:val="0"/>
          <w:numId w:val="3"/>
        </w:numPr>
        <w:ind w:left="720"/>
      </w:pPr>
      <w:r>
        <w:t xml:space="preserve">One</w:t>
      </w:r>
    </w:p>
    <w:p>
      <w:pPr>
        <w:pStyle w:val="ListParagraph"/>
        <w:numPr>
          <w:ilvl w:val="1"/>
          <w:numId w:val="3"/>
        </w:numPr>
        <w:ind w:left="720"/>
      </w:pPr>
      <w:r>
        <w:t xml:space="preserve">Two</w:t>
      </w:r>
    </w:p>
    <w:p>
      <w:pPr>
        <w:pStyle w:val="ListParagraph"/>
        <w:numPr>
          <w:ilvl w:val="2"/>
          <w:numId w:val="3"/>
        </w:numPr>
        <w:ind w:left="720"/>
      </w:pPr>
      <w:r>
        <w:t xml:space="preserve">Three</w:t>
      </w:r>
    </w:p>
    <w:p>
      <w:pPr>
        <w:pStyle w:val="ListParagraph"/>
        <w:numPr>
          <w:ilvl w:val="2"/>
          <w:numId w:val="3"/>
        </w:numPr>
        <w:ind w:left="720"/>
      </w:pPr>
      <w:r>
        <w:t xml:space="preserve">Four with a very long line to demonstrate that the hanging indent for the list is working correctly.</w:t>
      </w:r>
    </w:p>
    <w:p>
      <w:pPr>
        <w:pStyle w:val="ListParagraph"/>
        <w:numPr>
          <w:ilvl w:val="2"/>
          <w:numId w:val="3"/>
        </w:numPr>
        <w:ind w:left="720"/>
      </w:pPr>
      <w:r>
        <w:t xml:space="preserve">Five</w:t>
      </w:r>
    </w:p>
    <w:p>
      <w:pPr>
        <w:pStyle w:val="ListParagraph"/>
        <w:numPr>
          <w:ilvl w:val="0"/>
          <w:numId w:val="3"/>
        </w:numPr>
        <w:ind w:left="720"/>
      </w:pPr>
      <w:r>
        <w:t xml:space="preserve">Six</w:t>
      </w:r>
    </w:p>
    <w:p>
      <w:pPr>
        <w:pStyle w:val="ListParagraph"/>
        <w:ind w:left="360"/>
      </w:pPr>
      <w:r>
        <w:t xml:space="preserve">A Multi-level list with bullets:</w:t>
      </w:r>
    </w:p>
    <w:p>
      <w:pPr>
        <w:pStyle w:val="ListParagraph"/>
        <w:numPr>
          <w:ilvl w:val="0"/>
          <w:numId w:val="4"/>
        </w:numPr>
        <w:ind w:left="720"/>
      </w:pPr>
      <w:r>
        <w:t xml:space="preserve">One</w:t>
      </w:r>
    </w:p>
    <w:p>
      <w:pPr>
        <w:pStyle w:val="ListParagraph"/>
        <w:numPr>
          <w:ilvl w:val="1"/>
          <w:numId w:val="4"/>
        </w:numPr>
        <w:ind w:left="720"/>
      </w:pPr>
      <w:r>
        <w:t xml:space="preserve">Two</w:t>
      </w:r>
    </w:p>
    <w:p>
      <w:pPr>
        <w:pStyle w:val="ListParagraph"/>
        <w:numPr>
          <w:ilvl w:val="2"/>
          <w:numId w:val="4"/>
        </w:numPr>
        <w:ind w:left="720"/>
      </w:pPr>
      <w:r>
        <w:t xml:space="preserve">This bullet uses an image as the bullet item</w:t>
      </w:r>
    </w:p>
    <w:p>
      <w:pPr>
        <w:pStyle w:val="ListParagraph"/>
        <w:numPr>
          <w:ilvl w:val="3"/>
          <w:numId w:val="4"/>
        </w:numPr>
        <w:ind w:left="720"/>
      </w:pPr>
      <w:r>
        <w:t xml:space="preserve">Four</w:t>
      </w:r>
    </w:p>
    <w:p>
      <w:pPr>
        <w:pStyle w:val="ListParagraph"/>
        <w:numPr>
          <w:ilvl w:val="0"/>
          <w:numId w:val="4"/>
        </w:numPr>
        <w:ind w:left="720"/>
      </w:pPr>
      <w:r>
        <w:t xml:space="preserve">Five</w:t>
      </w:r>
    </w:p>
    <w:p>
      <w:pPr>
        <w:pStyle w:val="Heading2"/>
        <w:spacing w:before="200"/>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ind w:left="720"/>
      </w:pPr>
      <w:r>
        <w:t xml:space="preserve">One</w:t>
      </w:r>
    </w:p>
    <w:p>
      <w:pPr>
        <w:pStyle w:val="ListParagraph"/>
        <w:numPr>
          <w:ilvl w:val="0"/>
          <w:numId w:val="5"/>
        </w:numPr>
        <w:ind w:left="720"/>
      </w:pPr>
      <w:r>
        <w:t xml:space="preserve">Two</w:t>
      </w:r>
    </w:p>
    <w:p>
      <w:pPr>
        <w:pStyle w:val="ListParagraph"/>
        <w:ind w:left="720"/>
      </w:pPr>
      <w:r>
        <w:t xml:space="preserve">An interruption in our regularly scheduled listing, for this essential and very relevant public service announcement.</w:t>
      </w:r>
    </w:p>
    <w:p>
      <w:pPr>
        <w:pStyle w:val="ListParagraph"/>
        <w:numPr>
          <w:ilvl w:val="0"/>
          <w:numId w:val="5"/>
        </w:numPr>
        <w:ind w:left="720"/>
      </w:pPr>
      <w:r>
        <w:t xml:space="preserve">We now resume our normal programming</w:t>
      </w:r>
    </w:p>
    <w:p>
      <w:pPr>
        <w:pStyle w:val="ListParagraph"/>
        <w:numPr>
          <w:ilvl w:val="0"/>
          <w:numId w:val="5"/>
        </w:numPr>
        <w:ind w:left="720"/>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2"/>
    <w:lvlOverride w:ilvl="0">
      <w:startOverride w:val="1"/>
    </w:lvlOverride>
    <w:lvlOverride w:ilvl="1">
      <w:startOverride w:val="1"/>
    </w:lvlOverride>
    <w:lvlOverride w:ilvl="2">
      <w:startOverride w:val="1"/>
    </w:lvlOverride>
  </w:num>
  <w:num w:numId="4">
    <w:abstractNumId w:val="3"/>
  </w:num>
  <w:num w:numId="5">
    <w:abstractNumId w:val="4"/>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