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OLE_LINK1"/>
      <w:bookmarkStart w:id="1" w:name="OLE_LINK2"/>
      <w:bookmarkStart w:id="2" w:name="_Toc581531977"/>
      <w:bookmarkStart w:id="3" w:name="demonstration_of_docx_support_in_calibre"/>
      <w:r>
        <w:rPr>
          <w:color w:val="17365D"/>
          <w:sz w:val="52"/>
        </w:rPr>
        <w:t xml:space="preserve">Demonstration of DOCX support in </w:t>
      </w:r>
      <w:r>
        <w:rPr>
          <w:color w:val="17365D"/>
          <w:sz w:val="52"/>
        </w:rPr>
        <w:t xml:space="preserve">calibre</w:t>
      </w:r>
      <w:bookmarkEnd w:id="0"/>
      <w:bookmarkEnd w:id="1"/>
      <w:bookmarkEnd w:id="2"/>
      <w:bookmarkEnd w:id="3"/>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 </w:t>
      </w:r>
      <w:r>
        <w:rPr>
          <w:b/>
        </w:rPr>
        <w:t xml:space="preserve">Convert”. </w:t>
      </w:r>
      <w:r>
        <w:t xml:space="preserve">Set the output format in the top right corner of the conversion dialog to EPUB or AZW3 and click </w:t>
      </w:r>
      <w:r>
        <w:rPr>
          <w:b/>
        </w:rPr>
        <w:t xml:space="preserve">“OK”</w:t>
      </w:r>
      <w:r>
        <w:t xml:space="preserve"> .</w:t>
      </w:r>
    </w:p>
    <w:p/>
    <w:p>
      <w:pPr>
        <w:pStyle w:val="Heading1"/>
        <w:jc w:val="center"/>
      </w:pPr>
      <w:bookmarkStart w:id="4" w:name="_Toc2054249818"/>
      <w:bookmarkStart w:id="5" w:name="text_formatting"/>
      <w:r>
        <w:rPr>
          <w:b/>
          <w:color w:val="365F91"/>
          <w:sz w:val="28"/>
        </w:rPr>
        <w:t xml:space="preserve">Text Formatting</w:t>
      </w:r>
      <w:bookmarkEnd w:id="4"/>
      <w:bookmarkEnd w:id="5"/>
    </w:p>
    <w:p>
      <w:pPr>
        <w:pStyle w:val="Heading2"/>
      </w:pPr>
      <w:bookmarkStart w:id="6" w:name="_Toc2137712100"/>
      <w:bookmarkStart w:id="7" w:name="inline_formatting"/>
      <w:r>
        <w:rPr>
          <w:b/>
          <w:color w:val="4F81BD"/>
          <w:sz w:val="26"/>
        </w:rPr>
        <w:t xml:space="preserve">Inline formatting</w:t>
      </w:r>
      <w:bookmarkEnd w:id="6"/>
      <w:bookmarkEnd w:id="7"/>
    </w:p>
    <w:p>
      <w:r>
        <w:t xml:space="preserve">Here, we demonstrate various types of inline text formatting and the use of embedded fonts.</w:t>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text. Then, we have a super </w:t>
      </w:r>
      <w:r>
        <w:rPr>
          <w:vertAlign w:val="superscript"/>
        </w:rPr>
        <w:t xml:space="preserve">script</w:t>
      </w:r>
      <w:r>
        <w:t xml:space="preserve"> and a sub </w:t>
      </w:r>
      <w:r>
        <w:rPr>
          <w:vertAlign w:val="subscript"/>
        </w:rPr>
        <w:t xml:space="preserve">script</w:t>
      </w:r>
      <w:r>
        <w:t xml:space="preserve"> . Now we see some </w:t>
      </w:r>
      <w:r>
        <w:rPr>
          <w:color w:val="FF0000"/>
        </w:rPr>
        <w:t xml:space="preserve">red</w:t>
      </w:r>
      <w:r>
        <w:t xml:space="preserve"> , </w:t>
      </w:r>
      <w:r>
        <w:rPr>
          <w:color w:val="92D050"/>
        </w:rPr>
        <w:t xml:space="preserve">green</w:t>
      </w:r>
      <w:r>
        <w:t xml:space="preserve"> and </w:t>
      </w:r>
      <w:r>
        <w:rPr>
          <w:color w:val="0070C0"/>
        </w:rPr>
        <w:t xml:space="preserve">blue</w:t>
      </w:r>
      <w:r>
        <w:t xml:space="preserve"> text. Some text with a </w:t>
      </w:r>
      <w:r>
        <w:rPr>
          <w:shd w:val="clear" w:color="auto" w:fill="FFFF00"/>
        </w:rPr>
        <w:t xml:space="preserve">yellow highlight</w:t>
      </w:r>
      <w:r>
        <w:t xml:space="preserve"> . Some text in a box . Some text in </w:t>
      </w:r>
      <w:r>
        <w:rPr>
          <w:color w:val="FFFFFF"/>
          <w:shd w:val="clear" w:color="auto" w:fill="000000"/>
        </w:rPr>
        <w:t xml:space="preserve">inverse video</w:t>
      </w:r>
      <w:r>
        <w:t xml:space="preserve"> .</w:t>
      </w:r>
    </w:p>
    <w:p>
      <w:r>
        <w:t xml:space="preserve">A paragraph with styled text: </w:t>
      </w:r>
      <w:r>
        <w:rPr>
          <w:i/>
          <w:color w:val="808080"/>
        </w:rPr>
        <w:t xml:space="preserve">subtle emphasis</w:t>
      </w:r>
      <w:r>
        <w:t xml:space="preserve"> </w:t>
      </w:r>
      <w:r>
        <w:t xml:space="preserve">f ollowed by </w:t>
      </w:r>
      <w:r>
        <w:rPr>
          <w:b/>
        </w:rPr>
        <w:t xml:space="preserve">strong text </w:t>
      </w:r>
      <w:r>
        <w:t xml:space="preserve">a nd </w:t>
      </w:r>
      <w:r>
        <w:rPr>
          <w:b/>
          <w:i/>
          <w:color w:val="4F81BD"/>
        </w:rPr>
        <w:t xml:space="preserve">intense emphasis</w:t>
      </w:r>
      <w:r>
        <w:t xml:space="preserve"> . This paragraph uses document wide styles for styling rather than inline text properties as demonstrated in the previous paragraph — calibre can handle both with equal ease.</w:t>
      </w:r>
    </w:p>
    <w:p>
      <w:pPr>
        <w:pStyle w:val="Heading2"/>
      </w:pPr>
      <w:bookmarkStart w:id="8" w:name="_Toc1074133965"/>
      <w:bookmarkStart w:id="9" w:name="fun_with_fonts"/>
      <w:r>
        <w:rPr>
          <w:b/>
          <w:color w:val="4F81BD"/>
          <w:sz w:val="26"/>
        </w:rPr>
        <w:t xml:space="preserve">Fun with fonts</w:t>
      </w:r>
      <w:bookmarkEnd w:id="8"/>
      <w:bookmarkEnd w:id="9"/>
    </w:p>
    <w:p>
      <w:r>
        <w:t xml:space="preserve">This document has embedded the Ubuntu font family. The body text is in the Ubuntu typeface, here is </w:t>
      </w:r>
      <w:r>
        <w:rPr>
          <w:rFonts w:ascii="Ubuntu Mono" w:hAnsi="Ubuntu Mono"/>
        </w:rPr>
        <w:t xml:space="preserve">some text in the Ubuntu Mono typeface</w:t>
      </w:r>
      <w:r>
        <w:t xml:space="preserve"> </w:t>
      </w:r>
      <w:r>
        <w:rPr>
          <w:rFonts w:ascii="Ubuntu Mono" w:hAnsi="Ubuntu Mono"/>
        </w:rPr>
        <w:t xml:space="preserve">, notice how every letter has the same width, even i and m</w:t>
      </w:r>
      <w:r>
        <w:t xml:space="preserve"> . Every embedded font will automatically be embedded in the output ebook during conversion.</w:t>
      </w:r>
    </w:p>
    <w:p>
      <w:pPr>
        <w:pStyle w:val="Heading2"/>
      </w:pPr>
      <w:bookmarkStart w:id="10" w:name="_Paragraph_level_formatting"/>
      <w:bookmarkStart w:id="11" w:name="_Toc2022725662"/>
      <w:bookmarkStart w:id="12" w:name="paragraph_level_formatting"/>
      <w:r>
        <w:rPr>
          <w:b/>
          <w:color w:val="4F81BD"/>
          <w:sz w:val="26"/>
        </w:rPr>
        <w:t xml:space="preserve">Paragraph level formatting</w:t>
      </w:r>
      <w:bookmarkEnd w:id="10"/>
      <w:bookmarkEnd w:id="11"/>
      <w:bookmarkEnd w:id="12"/>
    </w:p>
    <w:p>
      <w:pPr>
        <w:jc w:val="right"/>
      </w:pPr>
      <w:r>
        <w:rPr>
          <w:shd w:val="clear" w:color="auto" w:fill="DDDDDD"/>
        </w:rP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color w:val="365F91"/>
          <w:sz w:val="28"/>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sz w:val="22"/>
              </w:rPr>
              <w:t xml:space="preserve">City or Town</w:t>
            </w:r>
          </w:p>
        </w:tc>
        <w:tc>
          <w:tcPr>
            <w:tcW w:w="0" w:type="auto"/>
          </w:tcPr>
          <w:p>
            <w:pPr>
              <w:jc w:val="center"/>
            </w:pPr>
            <w:r>
              <w:rPr>
                <w:sz w:val="22"/>
              </w:rPr>
              <w:t xml:space="preserve">Point A</w:t>
            </w:r>
          </w:p>
        </w:tc>
        <w:tc>
          <w:tcPr>
            <w:tcW w:w="0" w:type="auto"/>
          </w:tcPr>
          <w:p>
            <w:pPr>
              <w:jc w:val="center"/>
            </w:pPr>
            <w:r>
              <w:rPr>
                <w:sz w:val="22"/>
              </w:rPr>
              <w:t xml:space="preserve">Point B</w:t>
            </w:r>
          </w:p>
        </w:tc>
        <w:tc>
          <w:tcPr>
            <w:tcW w:w="0" w:type="auto"/>
          </w:tcPr>
          <w:p>
            <w:pPr>
              <w:jc w:val="center"/>
            </w:pPr>
            <w:r>
              <w:rPr>
                <w:sz w:val="22"/>
              </w:rPr>
              <w:t xml:space="preserve">Point C</w:t>
            </w:r>
          </w:p>
        </w:tc>
        <w:tc>
          <w:tcPr>
            <w:tcW w:w="0" w:type="auto"/>
          </w:tcPr>
          <w:p>
            <w:pPr>
              <w:jc w:val="center"/>
            </w:pPr>
            <w:r>
              <w:rPr>
                <w:sz w:val="22"/>
              </w:rPr>
              <w:t xml:space="preserve">Point D</w:t>
            </w:r>
          </w:p>
        </w:tc>
        <w:tc>
          <w:tcPr>
            <w:tcW w:w="0" w:type="auto"/>
          </w:tcPr>
          <w:p>
            <w:pPr>
              <w:jc w:val="center"/>
            </w:pPr>
            <w:r>
              <w:rPr>
                <w:sz w:val="22"/>
              </w:rPr>
              <w:t xml:space="preserve">Point E</w:t>
            </w:r>
          </w:p>
        </w:tc>
      </w:tr>
      <w:tr>
        <w:tc>
          <w:tcPr>
            <w:tcW w:w="0" w:type="auto"/>
          </w:tcPr>
          <w:p>
            <w:r>
              <w:t xml:space="preserve">Point A</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pPr>
              <w:jc w:val="center"/>
            </w:pPr>
          </w:p>
        </w:tc>
        <w:tc>
          <w:tcPr>
            <w:tcW w:w="0" w:type="auto"/>
          </w:tcPr>
          <w:p>
            <w:pPr>
              <w:jc w:val="center"/>
            </w:p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pPr>
              <w:jc w:val="center"/>
            </w:p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p>
      <w:r>
        <w:t xml:space="preserve">Next, we see a table with special formatting in various locations. Notice how the f ormatting for the h 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rPr>
                <w:i/>
                <w:color w:val="808080"/>
              </w:rPr>
              <w:t xml:space="preserve">Undergraduate</w:t>
            </w:r>
          </w:p>
        </w:tc>
        <w:tc>
          <w:tcPr>
            <w:tcW w:w="0" w:type="auto"/>
          </w:tcPr>
          <w:p/>
        </w:tc>
        <w:tc>
          <w:tcPr>
            <w:tcW w:w="0" w:type="auto"/>
          </w:tcPr>
          <w:p/>
        </w:tc>
      </w:tr>
      <w:tr>
        <w:tc>
          <w:tcPr>
            <w:tcW w:w="0" w:type="auto"/>
          </w:tcPr>
          <w:p>
            <w:r>
              <w:t xml:space="preserve">Cedar University</w:t>
            </w:r>
          </w:p>
        </w:tc>
        <w:tc>
          <w:tcPr>
            <w:tcW w:w="0" w:type="auto"/>
          </w:tcPr>
          <w:p>
            <w:r>
              <w:rPr>
                <w:sz w:val="22"/>
              </w:rPr>
              <w:t xml:space="preserve">110</w:t>
            </w:r>
          </w:p>
        </w:tc>
        <w:tc>
          <w:tcPr>
            <w:tcW w:w="0" w:type="auto"/>
          </w:tcPr>
          <w:p>
            <w:r>
              <w:rPr>
                <w:sz w:val="22"/>
              </w:rPr>
              <w:t xml:space="preserve">103</w:t>
            </w:r>
          </w:p>
        </w:tc>
        <w:tc>
          <w:tcPr>
            <w:tcW w:w="0" w:type="auto"/>
          </w:tcPr>
          <w:p>
            <w:r>
              <w:rPr>
                <w:sz w:val="22"/>
              </w:rPr>
              <w:t xml:space="preserve">+7</w:t>
            </w:r>
          </w:p>
        </w:tc>
      </w:tr>
      <w:tr>
        <w:tc>
          <w:tcPr>
            <w:tcW w:w="0" w:type="auto"/>
          </w:tcPr>
          <w:p>
            <w:r>
              <w:t xml:space="preserve">Oak Institute</w:t>
            </w:r>
          </w:p>
        </w:tc>
        <w:tc>
          <w:tcPr>
            <w:tcW w:w="0" w:type="auto"/>
          </w:tcPr>
          <w:p>
            <w:r>
              <w:rPr>
                <w:sz w:val="22"/>
              </w:rPr>
              <w:t xml:space="preserve">202</w:t>
            </w:r>
          </w:p>
        </w:tc>
        <w:tc>
          <w:tcPr>
            <w:tcW w:w="0" w:type="auto"/>
          </w:tcPr>
          <w:p>
            <w:r>
              <w:rPr>
                <w:sz w:val="22"/>
              </w:rPr>
              <w:t xml:space="preserve">210</w:t>
            </w:r>
          </w:p>
        </w:tc>
        <w:tc>
          <w:tcPr>
            <w:tcW w:w="0" w:type="auto"/>
          </w:tcPr>
          <w:p>
            <w:r>
              <w:rPr>
                <w:sz w:val="22"/>
              </w:rPr>
              <w:t xml:space="preserve">-8</w:t>
            </w:r>
          </w:p>
        </w:tc>
      </w:tr>
      <w:tr>
        <w:tc>
          <w:tcPr>
            <w:tcW w:w="0" w:type="auto"/>
          </w:tcPr>
          <w:p/>
        </w:tc>
        <w:tc>
          <w:tcPr>
            <w:tcW w:w="0" w:type="auto"/>
          </w:tcPr>
          <w:p>
            <w:r>
              <w:rPr>
                <w:i/>
                <w:color w:val="808080"/>
              </w:rPr>
              <w:t xml:space="preserve">Graduate</w:t>
            </w:r>
          </w:p>
        </w:tc>
        <w:tc>
          <w:tcPr>
            <w:tcW w:w="0" w:type="auto"/>
          </w:tcPr>
          <w:p/>
        </w:tc>
        <w:tc>
          <w:tcPr>
            <w:tcW w:w="0" w:type="auto"/>
          </w:tcPr>
          <w:p/>
        </w:tc>
      </w:tr>
      <w:tr>
        <w:tc>
          <w:tcPr>
            <w:tcW w:w="0" w:type="auto"/>
          </w:tcPr>
          <w:p>
            <w:r>
              <w:t xml:space="preserve">Cedar University</w:t>
            </w:r>
          </w:p>
        </w:tc>
        <w:tc>
          <w:tcPr>
            <w:tcW w:w="0" w:type="auto"/>
          </w:tcPr>
          <w:p>
            <w:r>
              <w:rPr>
                <w:sz w:val="22"/>
              </w:rPr>
              <w:t xml:space="preserve">24</w:t>
            </w:r>
          </w:p>
        </w:tc>
        <w:tc>
          <w:tcPr>
            <w:tcW w:w="0" w:type="auto"/>
          </w:tcPr>
          <w:p>
            <w:r>
              <w:rPr>
                <w:sz w:val="22"/>
              </w:rPr>
              <w:t xml:space="preserve">20</w:t>
            </w:r>
          </w:p>
        </w:tc>
        <w:tc>
          <w:tcPr>
            <w:tcW w:w="0" w:type="auto"/>
          </w:tcPr>
          <w:p>
            <w:r>
              <w:rPr>
                <w:sz w:val="22"/>
              </w:rPr>
              <w:t xml:space="preserve">+4</w:t>
            </w:r>
          </w:p>
        </w:tc>
      </w:tr>
      <w:tr>
        <w:tc>
          <w:tcPr>
            <w:tcW w:w="0" w:type="auto"/>
          </w:tcPr>
          <w:p>
            <w:r>
              <w:t xml:space="preserve">Elm College</w:t>
            </w:r>
          </w:p>
        </w:tc>
        <w:tc>
          <w:tcPr>
            <w:tcW w:w="0" w:type="auto"/>
          </w:tcPr>
          <w:p>
            <w:r>
              <w:rPr>
                <w:sz w:val="22"/>
              </w:rPr>
              <w:t xml:space="preserve">43</w:t>
            </w:r>
          </w:p>
        </w:tc>
        <w:tc>
          <w:tcPr>
            <w:tcW w:w="0" w:type="auto"/>
          </w:tcPr>
          <w:p>
            <w:r>
              <w:rPr>
                <w:sz w:val="22"/>
              </w:rPr>
              <w:t xml:space="preserve">53</w:t>
            </w:r>
          </w:p>
        </w:tc>
        <w:tc>
          <w:tcPr>
            <w:tcW w:w="0" w:type="auto"/>
          </w:tcPr>
          <w:p>
            <w:r>
              <w:rPr>
                <w:sz w:val="22"/>
              </w:rPr>
              <w:t xml:space="preserve">-10</w:t>
            </w:r>
          </w:p>
        </w:tc>
      </w:tr>
      <w:tr>
        <w:tc>
          <w:tcPr>
            <w:tcW w:w="0" w:type="auto"/>
          </w:tcPr>
          <w:p>
            <w:r>
              <w:t xml:space="preserve">Total</w:t>
            </w:r>
          </w:p>
        </w:tc>
        <w:tc>
          <w:tcPr>
            <w:tcW w:w="0" w:type="auto"/>
          </w:tcPr>
          <w:p>
            <w:r>
              <w:rPr>
                <w:sz w:val="22"/>
              </w:rPr>
              <w:t xml:space="preserve">998</w:t>
            </w:r>
          </w:p>
        </w:tc>
        <w:tc>
          <w:tcPr>
            <w:tcW w:w="0" w:type="auto"/>
          </w:tcPr>
          <w:p>
            <w:r>
              <w:rPr>
                <w:sz w:val="22"/>
              </w:rPr>
              <w:t xml:space="preserve">908</w:t>
            </w:r>
          </w:p>
        </w:tc>
        <w:tc>
          <w:tcPr>
            <w:tcW w:w="0" w:type="auto"/>
          </w:tcPr>
          <w:p>
            <w:r>
              <w:rPr>
                <w:sz w:val="22"/>
              </w:rPr>
              <w:t xml:space="preserve">90</w:t>
            </w:r>
          </w:p>
        </w:tc>
      </w:tr>
    </w:tbl>
    <w:p>
      <w:r>
        <w:rPr>
          <w:i/>
          <w:color w:val="808080"/>
          <w:sz w:val="20"/>
        </w:rPr>
        <w:t xml:space="preserve">Source:</w:t>
      </w:r>
      <w:r>
        <w:t xml:space="preserve"> </w:t>
      </w:r>
      <w:r>
        <w:rPr>
          <w:sz w:val="20"/>
        </w:rPr>
        <w:t xml:space="preserve">Fictitious data, for illustration purposes only</w:t>
      </w:r>
    </w:p>
    <w:p>
      <w:r>
        <w:t xml:space="preserve">Next ,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p>
      <w:r>
        <w:t xml:space="preserve">W e end with a fancy calendar, note how much of the original formatting is preserved .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jc w:val="center"/>
      </w:pPr>
      <w:bookmarkStart w:id="15" w:name="_Toc54889875"/>
      <w:bookmarkStart w:id="16" w:name="structural_elements"/>
      <w:r>
        <w:rPr>
          <w:b/>
          <w:color w:val="365F91"/>
          <w:sz w:val="28"/>
        </w:rPr>
        <w:t xml:space="preserve">Structural Elements</w:t>
      </w:r>
      <w:bookmarkEnd w:id="15"/>
      <w:bookmarkEnd w:id="16"/>
    </w:p>
    <w:p>
      <w:r>
        <w:t xml:space="preserve">Miscellaneous structural elements you can add to your document, like footnotes, endnotes, dropcaps and the like.</w:t>
      </w:r>
    </w:p>
    <w:p>
      <w:pPr>
        <w:pStyle w:val="Heading2"/>
      </w:pPr>
      <w:bookmarkStart w:id="17" w:name="_Toc201580556"/>
      <w:bookmarkStart w:id="18" w:name="footnotes_endnotes"/>
      <w:r>
        <w:rPr>
          <w:b/>
          <w:color w:val="4F81BD"/>
          <w:sz w:val="26"/>
        </w:rPr>
        <w:t xml:space="preserve">Footnotes &amp; Endnotes</w:t>
      </w:r>
      <w:bookmarkEnd w:id="17"/>
      <w:bookmarkEnd w:id="18"/>
    </w:p>
    <w:p>
      <w:r>
        <w:t xml:space="preserve">Footnotes</w:t>
      </w:r>
    </w:p>
    <w:p>
      <w:pPr>
        <w:spacing w:after="192"/>
      </w:pPr>
      <w:r>
        <w:rPr>
          <w:sz w:val="20"/>
          <w:shd w:val="clear" w:color="auto" w:fill="FDFDFD"/>
        </w:rPr>
        <w:t xml:space="preserve">In paged media, footnotes are usually displayed at the bottom of the text. However, in ebooks, a better paradigm is to make them clickable endnotes that the user can browse at her pleasure. This conversion is handled automatically by calibre.</w:t>
      </w:r>
    </w:p>
    <w:p>
      <w:r>
        <w:t xml:space="preserve">and endnotes</w:t>
      </w:r>
    </w:p>
    <w:p>
      <w:pPr>
        <w:spacing w:after="192"/>
      </w:pPr>
      <w:r>
        <w:rPr>
          <w:sz w:val="20"/>
          <w:shd w:val="clear" w:color="auto" w:fill="FDFDFD"/>
        </w:rPr>
        <w:t xml:space="preserve">Endnotes are typically used for longer notes, they remain endnotes when converted into ebook form, except that they have an additional backlink to make it easy to return to the current position after reading the note.</w:t>
      </w:r>
    </w:p>
    <w:p>
      <w:r>
        <w:t xml:space="preserve">are automatically recognized and both are converted to endnotes, with backlinks for maximum ease of use in ebook devices.</w:t>
      </w:r>
    </w:p>
    <w:p>
      <w:pPr>
        <w:pStyle w:val="Heading2"/>
      </w:pPr>
      <w:bookmarkStart w:id="19" w:name="_Toc1977424358"/>
      <w:bookmarkStart w:id="20" w:name="dropcaps"/>
      <w:r>
        <w:rPr>
          <w:b/>
          <w:color w:val="4F81BD"/>
          <w:sz w:val="26"/>
        </w:rPr>
        <w:t xml:space="preserve">Dropcaps</w:t>
      </w:r>
      <w:bookmarkEnd w:id="19"/>
      <w:bookmarkEnd w:id="20"/>
    </w:p>
    <w:p>
      <w:r>
        <w:rPr>
          <w:sz w:val="117"/>
        </w:rPr>
        <w:t xml:space="preserve">D</w:t>
      </w:r>
    </w:p>
    <w:p>
      <w:r>
        <w:t xml:space="preserve">rop caps are used to emphasize the leading paragraph at the start of a section. In Word it is possible to s p ecify how many lines of text a drop-cap should use.</w:t>
      </w:r>
    </w:p>
    <w:p>
      <w:pPr>
        <w:pStyle w:val="Heading2"/>
      </w:pPr>
      <w:bookmarkStart w:id="21" w:name="_Toc1233048813"/>
      <w:bookmarkStart w:id="22" w:name="links"/>
      <w:r>
        <w:rPr>
          <w:b/>
          <w:color w:val="4F81BD"/>
          <w:sz w:val="26"/>
        </w:rPr>
        <w:t xml:space="preserve">Links</w:t>
      </w:r>
      <w:bookmarkEnd w:id="21"/>
      <w:bookmarkEnd w:id="22"/>
    </w:p>
    <w:p>
      <w: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color w:val="0000FF"/>
            <w:u w:val="single"/>
          </w:rPr>
          <w:t xml:space="preserve">calibre download page</w:t>
        </w:r>
      </w:hyperlink>
      <w:r>
        <w:t xml:space="preserve"> . Then we have a link that points back to the section on </w:t>
      </w:r>
      <w:hyperlink w:anchor="_Paragraph_level_formatting">
        <w:r>
          <w:rPr>
            <w:rStyle w:val="Hyperlink"/>
            <w:color w:val="0000FF"/>
            <w:u w:val="single"/>
          </w:rPr>
          <w:t xml:space="preserve">paragraph level formatting</w:t>
        </w:r>
      </w:hyperlink>
      <w:r>
        <w:t xml:space="preserve"> in this document.</w:t>
      </w:r>
    </w:p>
    <w:p>
      <w:pPr>
        <w:pStyle w:val="Heading2"/>
      </w:pPr>
      <w:bookmarkStart w:id="23" w:name="_Toc64145348"/>
      <w:bookmarkStart w:id="24" w:name="table_of_contents"/>
      <w:r>
        <w:rPr>
          <w:b/>
          <w:color w:val="4F81BD"/>
          <w:sz w:val="26"/>
        </w:rPr>
        <w:t xml:space="preserve">Table of Contents</w:t>
      </w:r>
      <w:bookmarkEnd w:id="23"/>
      <w:bookmarkEnd w:id="24"/>
    </w:p>
    <w:p>
      <w:r>
        <w:t xml:space="preserve">You can see the Table of Contents created by calibre by clicking the Table of Contents button in whatever viewer you are using to view the converted ebook.</w:t>
      </w:r>
    </w:p>
    <w:p>
      <w:hyperlink w:anchor="_Toc581531977">
        <w:r>
          <w:rPr>
            <w:rStyle w:val="Hyperlink"/>
            <w:color w:val="0000FF"/>
            <w:sz w:val="24"/>
            <w:u w:val="single"/>
          </w:rPr>
          <w:t xml:space="preserve">Demonstration of DOCX support in calibre</w:t>
        </w:r>
      </w:hyperlink>
      <w:r>
        <w:t xml:space="preserve"> </w:t>
      </w:r>
      <w:hyperlink w:anchor="_Toc581531977">
        <w:r>
          <w:rPr>
            <w:rStyle w:val="Hyperlink"/>
            <w:color w:val="0000FF"/>
            <w:sz w:val="24"/>
            <w:u w:val="single"/>
          </w:rPr>
          <w:t xml:space="preserve">1</w:t>
        </w:r>
      </w:hyperlink>
    </w:p>
    <w:p>
      <w:hyperlink w:anchor="_Toc2054249818">
        <w:r>
          <w:rPr>
            <w:rStyle w:val="Hyperlink"/>
            <w:color w:val="0000FF"/>
            <w:sz w:val="24"/>
            <w:u w:val="single"/>
          </w:rPr>
          <w:t xml:space="preserve">Text Formatting</w:t>
        </w:r>
      </w:hyperlink>
      <w:r>
        <w:t xml:space="preserve"> </w:t>
      </w:r>
      <w:hyperlink w:anchor="_Toc2054249818">
        <w:r>
          <w:rPr>
            <w:rStyle w:val="Hyperlink"/>
            <w:color w:val="0000FF"/>
            <w:sz w:val="24"/>
            <w:u w:val="single"/>
          </w:rPr>
          <w:t xml:space="preserve">1</w:t>
        </w:r>
      </w:hyperlink>
    </w:p>
    <w:p>
      <w:hyperlink w:anchor="_Toc2137712100">
        <w:r>
          <w:rPr>
            <w:rStyle w:val="Hyperlink"/>
            <w:color w:val="0000FF"/>
            <w:sz w:val="24"/>
            <w:u w:val="single"/>
          </w:rPr>
          <w:t xml:space="preserve">Inline formatting</w:t>
        </w:r>
      </w:hyperlink>
      <w:r>
        <w:t xml:space="preserve"> </w:t>
      </w:r>
      <w:hyperlink w:anchor="_Toc2137712100">
        <w:r>
          <w:rPr>
            <w:rStyle w:val="Hyperlink"/>
            <w:color w:val="0000FF"/>
            <w:sz w:val="24"/>
            <w:u w:val="single"/>
          </w:rPr>
          <w:t xml:space="preserve">2</w:t>
        </w:r>
      </w:hyperlink>
    </w:p>
    <w:p>
      <w:hyperlink w:anchor="_Toc1074133965">
        <w:r>
          <w:rPr>
            <w:rStyle w:val="Hyperlink"/>
            <w:color w:val="0000FF"/>
            <w:sz w:val="24"/>
            <w:u w:val="single"/>
          </w:rPr>
          <w:t xml:space="preserve">Fun with fonts</w:t>
        </w:r>
      </w:hyperlink>
      <w:r>
        <w:t xml:space="preserve"> </w:t>
      </w:r>
      <w:hyperlink w:anchor="_Toc1074133965">
        <w:r>
          <w:rPr>
            <w:rStyle w:val="Hyperlink"/>
            <w:color w:val="0000FF"/>
            <w:sz w:val="24"/>
            <w:u w:val="single"/>
          </w:rPr>
          <w:t xml:space="preserve">2</w:t>
        </w:r>
      </w:hyperlink>
    </w:p>
    <w:p>
      <w:hyperlink w:anchor="_Toc2022725662">
        <w:r>
          <w:rPr>
            <w:rStyle w:val="Hyperlink"/>
            <w:color w:val="0000FF"/>
            <w:sz w:val="24"/>
            <w:u w:val="single"/>
          </w:rPr>
          <w:t xml:space="preserve">Paragraph level formatting</w:t>
        </w:r>
      </w:hyperlink>
      <w:r>
        <w:t xml:space="preserve"> </w:t>
      </w:r>
      <w:hyperlink w:anchor="_Toc2022725662">
        <w:r>
          <w:rPr>
            <w:rStyle w:val="Hyperlink"/>
            <w:color w:val="0000FF"/>
            <w:sz w:val="24"/>
            <w:u w:val="single"/>
          </w:rPr>
          <w:t xml:space="preserve">2</w:t>
        </w:r>
      </w:hyperlink>
    </w:p>
    <w:p>
      <w:hyperlink w:anchor="_Toc28114276">
        <w:r>
          <w:rPr>
            <w:rStyle w:val="Hyperlink"/>
            <w:color w:val="0000FF"/>
            <w:sz w:val="24"/>
            <w:u w:val="single"/>
          </w:rPr>
          <w:t xml:space="preserve">Tables</w:t>
        </w:r>
      </w:hyperlink>
      <w:r>
        <w:t xml:space="preserve"> </w:t>
      </w:r>
      <w:hyperlink w:anchor="_Toc28114276">
        <w:r>
          <w:rPr>
            <w:rStyle w:val="Hyperlink"/>
            <w:color w:val="0000FF"/>
            <w:sz w:val="24"/>
            <w:u w:val="single"/>
          </w:rPr>
          <w:t xml:space="preserve">2</w:t>
        </w:r>
      </w:hyperlink>
    </w:p>
    <w:p>
      <w:hyperlink w:anchor="_Toc54889875">
        <w:r>
          <w:rPr>
            <w:rStyle w:val="Hyperlink"/>
            <w:color w:val="0000FF"/>
            <w:sz w:val="24"/>
            <w:u w:val="single"/>
          </w:rPr>
          <w:t xml:space="preserve">Structural Elements</w:t>
        </w:r>
      </w:hyperlink>
      <w:r>
        <w:t xml:space="preserve"> </w:t>
      </w:r>
      <w:hyperlink w:anchor="_Toc54889875">
        <w:r>
          <w:rPr>
            <w:rStyle w:val="Hyperlink"/>
            <w:color w:val="0000FF"/>
            <w:sz w:val="24"/>
            <w:u w:val="single"/>
          </w:rPr>
          <w:t xml:space="preserve">4</w:t>
        </w:r>
      </w:hyperlink>
    </w:p>
    <w:p>
      <w:hyperlink w:anchor="_Toc201580556">
        <w:r>
          <w:rPr>
            <w:rStyle w:val="Hyperlink"/>
            <w:color w:val="0000FF"/>
            <w:sz w:val="24"/>
            <w:u w:val="single"/>
          </w:rPr>
          <w:t xml:space="preserve">Footnotes &amp; Endnotes</w:t>
        </w:r>
      </w:hyperlink>
      <w:r>
        <w:t xml:space="preserve"> </w:t>
      </w:r>
      <w:hyperlink w:anchor="_Toc201580556">
        <w:r>
          <w:rPr>
            <w:rStyle w:val="Hyperlink"/>
            <w:color w:val="0000FF"/>
            <w:sz w:val="24"/>
            <w:u w:val="single"/>
          </w:rPr>
          <w:t xml:space="preserve">5</w:t>
        </w:r>
      </w:hyperlink>
    </w:p>
    <w:p>
      <w:hyperlink w:anchor="_Toc1977424358">
        <w:r>
          <w:rPr>
            <w:rStyle w:val="Hyperlink"/>
            <w:color w:val="0000FF"/>
            <w:sz w:val="24"/>
            <w:u w:val="single"/>
          </w:rPr>
          <w:t xml:space="preserve">Dropcaps</w:t>
        </w:r>
      </w:hyperlink>
      <w:r>
        <w:t xml:space="preserve"> </w:t>
      </w:r>
      <w:hyperlink w:anchor="_Toc1977424358">
        <w:r>
          <w:rPr>
            <w:rStyle w:val="Hyperlink"/>
            <w:color w:val="0000FF"/>
            <w:sz w:val="24"/>
            <w:u w:val="single"/>
          </w:rPr>
          <w:t xml:space="preserve">5</w:t>
        </w:r>
      </w:hyperlink>
    </w:p>
    <w:p>
      <w:hyperlink w:anchor="_Toc1233048813">
        <w:r>
          <w:rPr>
            <w:rStyle w:val="Hyperlink"/>
            <w:color w:val="0000FF"/>
            <w:sz w:val="24"/>
            <w:u w:val="single"/>
          </w:rPr>
          <w:t xml:space="preserve">Links</w:t>
        </w:r>
      </w:hyperlink>
      <w:r>
        <w:t xml:space="preserve"> </w:t>
      </w:r>
      <w:hyperlink w:anchor="_Toc1233048813">
        <w:r>
          <w:rPr>
            <w:rStyle w:val="Hyperlink"/>
            <w:color w:val="0000FF"/>
            <w:sz w:val="24"/>
            <w:u w:val="single"/>
          </w:rPr>
          <w:t xml:space="preserve">5</w:t>
        </w:r>
      </w:hyperlink>
    </w:p>
    <w:p>
      <w:hyperlink w:anchor="_Toc64145348">
        <w:r>
          <w:rPr>
            <w:rStyle w:val="Hyperlink"/>
            <w:color w:val="0000FF"/>
            <w:sz w:val="24"/>
            <w:u w:val="single"/>
          </w:rPr>
          <w:t xml:space="preserve">Table of Contents</w:t>
        </w:r>
      </w:hyperlink>
      <w:r>
        <w:t xml:space="preserve"> </w:t>
      </w:r>
      <w:hyperlink w:anchor="_Toc64145348">
        <w:r>
          <w:rPr>
            <w:rStyle w:val="Hyperlink"/>
            <w:color w:val="0000FF"/>
            <w:sz w:val="24"/>
            <w:u w:val="single"/>
          </w:rPr>
          <w:t xml:space="preserve">5</w:t>
        </w:r>
      </w:hyperlink>
    </w:p>
    <w:p>
      <w:hyperlink w:anchor="_Toc484565143">
        <w:r>
          <w:rPr>
            <w:rStyle w:val="Hyperlink"/>
            <w:color w:val="0000FF"/>
            <w:sz w:val="24"/>
            <w:u w:val="single"/>
          </w:rPr>
          <w:t xml:space="preserve">Images</w:t>
        </w:r>
      </w:hyperlink>
      <w:r>
        <w:t xml:space="preserve"> </w:t>
      </w:r>
      <w:hyperlink w:anchor="_Toc484565143">
        <w:r>
          <w:rPr>
            <w:rStyle w:val="Hyperlink"/>
            <w:color w:val="0000FF"/>
            <w:sz w:val="24"/>
            <w:u w:val="single"/>
          </w:rPr>
          <w:t xml:space="preserve">6</w:t>
        </w:r>
      </w:hyperlink>
    </w:p>
    <w:p>
      <w:hyperlink w:anchor="_Toc1359965655">
        <w:r>
          <w:rPr>
            <w:rStyle w:val="Hyperlink"/>
            <w:color w:val="0000FF"/>
            <w:sz w:val="24"/>
            <w:u w:val="single"/>
          </w:rPr>
          <w:t xml:space="preserve">Lists</w:t>
        </w:r>
      </w:hyperlink>
      <w:r>
        <w:t xml:space="preserve"> </w:t>
      </w:r>
      <w:hyperlink w:anchor="_Toc1359965655">
        <w:r>
          <w:rPr>
            <w:rStyle w:val="Hyperlink"/>
            <w:color w:val="0000FF"/>
            <w:sz w:val="24"/>
            <w:u w:val="single"/>
          </w:rPr>
          <w:t xml:space="preserve">7</w:t>
        </w:r>
      </w:hyperlink>
    </w:p>
    <w:p>
      <w:hyperlink w:anchor="_Toc1958162433">
        <w:r>
          <w:rPr>
            <w:rStyle w:val="Hyperlink"/>
            <w:color w:val="0000FF"/>
            <w:sz w:val="24"/>
            <w:u w:val="single"/>
          </w:rPr>
          <w:t xml:space="preserve">Bulleted List</w:t>
        </w:r>
      </w:hyperlink>
      <w:r>
        <w:t xml:space="preserve"> </w:t>
      </w:r>
      <w:hyperlink w:anchor="_Toc1958162433">
        <w:r>
          <w:rPr>
            <w:rStyle w:val="Hyperlink"/>
            <w:color w:val="0000FF"/>
            <w:sz w:val="24"/>
            <w:u w:val="single"/>
          </w:rPr>
          <w:t xml:space="preserve">8</w:t>
        </w:r>
      </w:hyperlink>
    </w:p>
    <w:p>
      <w:hyperlink w:anchor="_Toc415190676">
        <w:r>
          <w:rPr>
            <w:rStyle w:val="Hyperlink"/>
            <w:color w:val="0000FF"/>
            <w:sz w:val="24"/>
            <w:u w:val="single"/>
          </w:rPr>
          <w:t xml:space="preserve">Numbered List</w:t>
        </w:r>
      </w:hyperlink>
      <w:r>
        <w:t xml:space="preserve"> </w:t>
      </w:r>
      <w:hyperlink w:anchor="_Toc415190676">
        <w:r>
          <w:rPr>
            <w:rStyle w:val="Hyperlink"/>
            <w:color w:val="0000FF"/>
            <w:sz w:val="24"/>
            <w:u w:val="single"/>
          </w:rPr>
          <w:t xml:space="preserve">8</w:t>
        </w:r>
      </w:hyperlink>
    </w:p>
    <w:p>
      <w:hyperlink w:anchor="_Toc1093260318">
        <w:r>
          <w:rPr>
            <w:rStyle w:val="Hyperlink"/>
            <w:color w:val="0000FF"/>
            <w:sz w:val="24"/>
            <w:u w:val="single"/>
          </w:rPr>
          <w:t xml:space="preserve">Multi-level Lists</w:t>
        </w:r>
      </w:hyperlink>
      <w:r>
        <w:t xml:space="preserve"> </w:t>
      </w:r>
      <w:hyperlink w:anchor="_Toc1093260318">
        <w:r>
          <w:rPr>
            <w:rStyle w:val="Hyperlink"/>
            <w:color w:val="0000FF"/>
            <w:sz w:val="24"/>
            <w:u w:val="single"/>
          </w:rPr>
          <w:t xml:space="preserve">8</w:t>
        </w:r>
      </w:hyperlink>
    </w:p>
    <w:p>
      <w:hyperlink w:anchor="_Toc1471533984">
        <w:r>
          <w:rPr>
            <w:rStyle w:val="Hyperlink"/>
            <w:color w:val="0000FF"/>
            <w:sz w:val="22"/>
            <w:u w:val="single"/>
          </w:rPr>
          <w:t xml:space="preserve">Continued Lists</w:t>
        </w:r>
      </w:hyperlink>
      <w:r>
        <w:t xml:space="preserve"> </w:t>
      </w:r>
      <w:hyperlink w:anchor="_Toc1471533984">
        <w:r>
          <w:rPr>
            <w:rStyle w:val="Hyperlink"/>
            <w:color w:val="0000FF"/>
            <w:sz w:val="22"/>
            <w:u w:val="single"/>
          </w:rPr>
          <w:t xml:space="preserve">8</w:t>
        </w:r>
      </w:hyperlink>
    </w:p>
    <w:p/>
    <w:p/>
    <w:p>
      <w:pPr>
        <w:pStyle w:val="Heading1"/>
        <w:jc w:val="center"/>
      </w:pPr>
      <w:bookmarkStart w:id="25" w:name="_Toc484565143"/>
      <w:bookmarkStart w:id="26" w:name="images"/>
      <w:r>
        <w:rPr>
          <w:b/>
          <w:color w:val="365F91"/>
          <w:sz w:val="28"/>
        </w:rPr>
        <w:t xml:space="preserve">Images</w:t>
      </w:r>
      <w:bookmarkEnd w:id="25"/>
      <w:bookmarkEnd w:id="26"/>
    </w:p>
    <w:p>
      <w:r>
        <w:t xml:space="preserve">Centered images like this are useful for large pictures that should be a focus of attention.</w:t>
      </w:r>
    </w:p>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p>
      <w:r>
        <w:rPr>
          <w:rFonts w:ascii="Ubuntu" w:hAnsi="Ubuntu"/>
          <w:sz w:val="24"/>
        </w:rPr>
        <w:t xml:space="preserve">There is no analogous technology in </w:t>
      </w:r>
      <w:r>
        <w:rPr>
          <w:rFonts w:ascii="Ubuntu" w:hAnsi="Ubuntu"/>
          <w:sz w:val="24"/>
        </w:rPr>
        <w:t xml:space="preserve">ebooks</w:t>
      </w:r>
      <w:r>
        <w:t xml:space="preserve"> </w:t>
      </w:r>
      <w:r>
        <w:rPr>
          <w:rFonts w:ascii="Ubuntu" w:hAnsi="Ubuntu"/>
          <w:sz w:val="24"/>
        </w:rPr>
        <w:t xml:space="preserve">, so the conversion will usually end up placing the image either centered or floating close to the point in the text where it was </w:t>
      </w:r>
      <w:r>
        <w:rPr>
          <w:rFonts w:ascii="Ubuntu" w:hAnsi="Ubuntu"/>
          <w:i/>
          <w:color w:val="808080"/>
          <w:sz w:val="24"/>
        </w:rPr>
        <w:t xml:space="preserve">inserted</w:t>
      </w:r>
      <w:r>
        <w:t xml:space="preserve"> </w:t>
      </w:r>
      <w:r>
        <w:rPr>
          <w:rFonts w:ascii="Ubuntu" w:hAnsi="Ubuntu"/>
          <w:sz w:val="24"/>
        </w:rPr>
        <w:t xml:space="preserve">, not necessarily where it appears on the page in Word.</w:t>
      </w:r>
    </w:p>
    <w:p>
      <w:pPr>
        <w:pStyle w:val="Heading1"/>
        <w:jc w:val="center"/>
      </w:pPr>
      <w:bookmarkStart w:id="27" w:name="_Toc1359965655"/>
      <w:bookmarkStart w:id="28" w:name="lists"/>
      <w:r>
        <w:rPr>
          <w:b/>
          <w:color w:val="365F91"/>
          <w:sz w:val="28"/>
        </w:rPr>
        <w:t xml:space="preserve">Lists</w:t>
      </w:r>
      <w:bookmarkEnd w:id="27"/>
      <w:bookmarkEnd w:id="28"/>
    </w:p>
    <w:p>
      <w:r>
        <w:t xml:space="preserve">All types of lists are supported by the conversion, with the exception of lists that use fancy bullets, these get converted to regular bullets.</w:t>
      </w:r>
    </w:p>
    <w:p>
      <w:pPr>
        <w:pStyle w:val="Heading2"/>
      </w:pPr>
      <w:bookmarkStart w:id="29" w:name="_Toc1958162433"/>
      <w:bookmarkStart w:id="30" w:name="bulleted_list"/>
      <w:r>
        <w:rPr>
          <w:b/>
          <w:color w:val="4F81BD"/>
          <w:sz w:val="26"/>
        </w:rPr>
        <w:t xml:space="preserve">Bulleted List</w:t>
      </w:r>
      <w:bookmarkEnd w:id="29"/>
      <w:bookmarkEnd w:id="30"/>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31" w:name="_Toc415190676"/>
      <w:bookmarkStart w:id="32" w:name="numbered_list"/>
      <w:r>
        <w:rPr>
          <w:b/>
          <w:color w:val="4F81BD"/>
          <w:sz w:val="26"/>
        </w:rPr>
        <w:t xml:space="preserve">Numbered List</w:t>
      </w:r>
      <w:bookmarkEnd w:id="31"/>
      <w:bookmarkEnd w:id="32"/>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33" w:name="_Toc1093260318"/>
      <w:bookmarkStart w:id="34" w:name="multi_level_lists"/>
      <w:bookmarkStart w:id="35" w:name="multi_level_list_s"/>
      <w:r>
        <w:rPr>
          <w:b/>
          <w:color w:val="4F81BD"/>
          <w:sz w:val="26"/>
        </w:rPr>
        <w:t xml:space="preserve">Multi-level List</w:t>
      </w:r>
      <w:r>
        <w:t xml:space="preserve"> </w:t>
      </w:r>
      <w:r>
        <w:rPr>
          <w:b/>
          <w:color w:val="4F81BD"/>
          <w:sz w:val="26"/>
        </w:rPr>
        <w:t xml:space="preserve">s</w:t>
      </w:r>
      <w:bookmarkEnd w:id="33"/>
      <w:bookmarkEnd w:id="34"/>
      <w:bookmarkEnd w:id="35"/>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6" w:name="_Toc1471533984"/>
      <w:bookmarkStart w:id="37" w:name="continued_lists"/>
      <w:r>
        <w:rPr>
          <w:b/>
          <w:color w:val="4F81BD"/>
          <w:sz w:val="26"/>
        </w:rPr>
        <w:t xml:space="preserve">Continued Lists</w:t>
      </w:r>
      <w:bookmarkEnd w:id="36"/>
      <w:bookmarkEnd w:id="37"/>
    </w:p>
    <w:p>
      <w:pPr>
        <w:pStyle w:val="ListParagraph"/>
        <w:numPr>
          <w:ilvl w:val="0"/>
          <w:numId w:val="5"/>
        </w:numPr>
      </w:pPr>
      <w:r>
        <w:t xml:space="preserve">One</w:t>
      </w:r>
    </w:p>
    <w:p>
      <w:pPr>
        <w:pStyle w:val="ListParagraph"/>
        <w:numPr>
          <w:ilvl w:val="0"/>
          <w:numId w:val="5"/>
        </w:numPr>
      </w:pPr>
      <w:r>
        <w:t xml:space="preserve">Two</w:t>
      </w:r>
    </w:p>
    <w:p>
      <w:r>
        <w:t xml:space="preserve">An interruption in our regularly scheduled listing, for this essential and very relevant public service announcement.</w:t>
      </w:r>
    </w:p>
    <w:p>
      <w:pPr>
        <w:pStyle w:val="ListParagraph"/>
        <w:numPr>
          <w:ilvl w:val="0"/>
          <w:numId w:val="6"/>
        </w:numPr>
      </w:pPr>
      <w:r>
        <w:t xml:space="preserve">We now resume our normal programming</w:t>
      </w:r>
    </w:p>
    <w:p>
      <w:pPr>
        <w:pStyle w:val="ListParagraph"/>
        <w:numPr>
          <w:ilvl w:val="0"/>
          <w:numId w:val="6"/>
        </w:numPr>
      </w:pPr>
      <w:r>
        <w:t xml:space="preserve">Four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0"/>
  </w:num>
  <w:num w:numId="5">
    <w:abstractNumId w:val="1"/>
    <w:lvlOverride w:ilvl="0">
      <w:startOverride w:val="1"/>
    </w:lvlOverride>
  </w:num>
  <w:num w:numId="6">
    <w:abstractNumId w:val="1"/>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dc:language>en</dc:language>
  <cp:lastModifiedBy>Harsh Ankur</cp:lastModifiedBy>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