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56"/>
          <w:szCs w:val="56"/>
        </w:rPr>
        <w:t xml:space="preserve">RFP Redlining Copilot</w:t>
      </w:r>
    </w:p>
    <w:p>
      <w:pPr>
        <w:spacing w:after="200"/>
        <w:jc w:val="center"/>
      </w:pPr>
      <w:r>
        <w:rPr>
          <w:color w:val="595959"/>
          <w:sz w:val="36"/>
          <w:szCs w:val="36"/>
        </w:rPr>
        <w:t xml:space="preserve">Architectural Evolution</w:t>
      </w:r>
    </w:p>
    <w:p>
      <w:pPr>
        <w:spacing w:after="1200"/>
        <w:jc w:val="center"/>
      </w:pPr>
      <w:r>
        <w:rPr>
          <w:i/>
          <w:iCs/>
          <w:color w:val="595959"/>
          <w:sz w:val="24"/>
          <w:szCs w:val="24"/>
        </w:rPr>
        <w:t xml:space="preserve">A study document for the AI Architect interview</w:t>
      </w:r>
    </w:p>
    <w:p>
      <w:pPr>
        <w:jc w:val="center"/>
      </w:pPr>
      <w:r>
        <w:rPr>
          <w:sz w:val="22"/>
          <w:szCs w:val="22"/>
        </w:rPr>
        <w:t xml:space="preserve">Owner: H</w:t>
      </w:r>
    </w:p>
    <w:p>
      <w:pPr>
        <w:jc w:val="center"/>
      </w:pPr>
      <w:r>
        <w:rPr>
          <w:sz w:val="22"/>
          <w:szCs w:val="22"/>
        </w:rPr>
        <w:t xml:space="preserve">Generated: April 2026</w:t>
      </w:r>
    </w:p>
    <w:p>
      <w:pPr>
        <w:jc w:val="center"/>
      </w:pPr>
      <w:r>
        <w:rPr>
          <w:sz w:val="22"/>
          <w:szCs w:val="22"/>
        </w:rPr>
        <w:t xml:space="preserve">Status: Consolidated for interview preparation</w:t>
      </w:r>
    </w:p>
    <w:p>
      <w:r>
        <w:br w:type="page"/>
      </w:r>
    </w:p>
    <w:p>
      <w:pPr>
        <w:pStyle w:val="Heading1"/>
        <w:spacing w:after="200" w:before="400"/>
      </w:pPr>
      <w:r>
        <w:rPr>
          <w:b/>
          <w:bCs/>
          <w:color w:val="1F4E79"/>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4E79"/>
          <w:sz w:val="36"/>
          <w:szCs w:val="36"/>
        </w:rPr>
        <w:t xml:space="preserve">1. Executive Summary</w:t>
      </w:r>
    </w:p>
    <w:p>
      <w:pPr>
        <w:spacing w:after="160"/>
        <w:jc w:val="both"/>
      </w:pPr>
      <w:r>
        <w:t xml:space="preserve">This document traces the architectural evolution of the RFP Redlining Copilot from its origins as a personalized learning generator through several pivots to its current form: a demo-tier AWS-native workflow that takes an incoming RFP Excel, auto-answers questions with citations, applies enterprise-legal hard rules, and returns a color-coded Excel for SME review. The journey spans five major versions and three significant pivots over a period of intensive iteration.</w:t>
      </w:r>
    </w:p>
    <w:p>
      <w:pPr>
        <w:spacing w:after="160"/>
        <w:jc w:val="both"/>
      </w:pPr>
      <w:r>
        <w:t xml:space="preserve">The central lesson is that the valuable architectural thinking lives not in service choice but in governance primitives: a composite confidence score grounded in measurable signals rather than LLM self-report; hard rules that enforce enterprise-legal constraints rather than AI-safety preferences; source authority tiering that prevents stale content propagation; and a feedback loop with corroboration provenance that lets the answer library self-clean over time. These primitives are portable across underlying service choices; the surrounding infrastructure is not.</w:t>
      </w:r>
    </w:p>
    <w:p>
      <w:pPr>
        <w:spacing w:after="160"/>
        <w:jc w:val="both"/>
      </w:pPr>
      <w:r>
        <w:t xml:space="preserve">Three architectural principles anchor the final design. First, keep LLM non-determinism inside a deterministic envelope (Step Functions, not Bedrock Agents, for legal-adjacent workflows). Second, tier source authority by topic and suppress stale phrasing references against fresh authoritative sources. Third, treat hard rules as enterprise-legal constraints reviewed by General Counsel, not as soft heuristics the model might occasionally respect.</w:t>
      </w:r>
    </w:p>
    <w:p>
      <w:pPr>
        <w:spacing w:after="160"/>
        <w:jc w:val="both"/>
      </w:pPr>
      <w:r>
        <w:t xml:space="preserve">The final demo-tier architecture costs approximately three dollars per one-hour demo when deployed on-demand, deploys in under five minutes, and tells the full story of how an AI architect would build Glean-adjacent workflows on AWS.</w:t>
      </w:r>
    </w:p>
    <w:p>
      <w:pPr>
        <w:pStyle w:val="Heading1"/>
        <w:spacing w:after="200" w:before="400"/>
      </w:pPr>
      <w:r>
        <w:rPr>
          <w:b/>
          <w:bCs/>
          <w:color w:val="1F4E79"/>
          <w:sz w:val="36"/>
          <w:szCs w:val="36"/>
        </w:rPr>
        <w:t xml:space="preserve">2. Version Timeline</w:t>
      </w:r>
    </w:p>
    <w:p>
      <w:pPr>
        <w:spacing w:after="160"/>
        <w:jc w:val="both"/>
      </w:pPr>
      <w:r>
        <w:t xml:space="preserve">The project went through six distinct states. Each pivot was deliberate and driven by either architectural critique or changing requirements. Parked ideas were fully wiped rather than carried forward as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rPr>
          <w:tblHeader/>
        </w:trPr>
        <w:tc>
          <w:tcPr>
            <w:tcW w:type="dxa" w:w="1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Version</w:t>
            </w:r>
          </w:p>
        </w:tc>
        <w:tc>
          <w:tcPr>
            <w:tcW w:type="dxa" w:w="16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Period</w:t>
            </w:r>
          </w:p>
        </w:tc>
        <w:tc>
          <w:tcPr>
            <w:tcW w:type="dxa" w:w="3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Use case</w:t>
            </w:r>
          </w:p>
        </w:tc>
        <w:tc>
          <w:tcPr>
            <w:tcW w:type="dxa" w:w="33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Key architectural move</w:t>
            </w:r>
          </w:p>
        </w:tc>
      </w:tr>
      <w:tr>
        <w:tc>
          <w:tcPr>
            <w:tcW w:type="dxa" w:w="1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v0.1</w:t>
            </w:r>
          </w:p>
        </w:tc>
        <w:tc>
          <w:tcPr>
            <w:tcW w:type="dxa" w:w="1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Origin</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Personalized learning (SCORM generator)</w:t>
            </w:r>
          </w:p>
        </w:tc>
        <w:tc>
          <w:tcPr>
            <w:tcW w:type="dxa" w:w="3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Step Functions + Strands + Bedrock; deterministic orchestration with LLM inside bounded envelope</w:t>
            </w:r>
          </w:p>
        </w:tc>
      </w:tr>
      <w:tr>
        <w:tc>
          <w:tcPr>
            <w:tcW w:type="dxa" w:w="1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v0.2</w:t>
            </w:r>
          </w:p>
        </w:tc>
        <w:tc>
          <w:tcPr>
            <w:tcW w:type="dxa" w:w="1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CHRO review</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Personalized learning (governance layer)</w:t>
            </w:r>
          </w:p>
        </w:tc>
        <w:tc>
          <w:tcPr>
            <w:tcW w:type="dxa" w:w="3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Added SME approval gate, bias-control layer, Kirkpatrick measurement, xAPI output</w:t>
            </w:r>
          </w:p>
        </w:tc>
      </w:tr>
      <w:tr>
        <w:tc>
          <w:tcPr>
            <w:tcW w:type="dxa" w:w="1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v0.3</w:t>
            </w:r>
          </w:p>
        </w:tc>
        <w:tc>
          <w:tcPr>
            <w:tcW w:type="dxa" w:w="1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Scope trim</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Personalized learning (xAPI only)</w:t>
            </w:r>
          </w:p>
        </w:tc>
        <w:tc>
          <w:tcPr>
            <w:tcW w:type="dxa" w:w="3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Dropped SCORM fallback; simplified output path</w:t>
            </w:r>
          </w:p>
        </w:tc>
      </w:tr>
      <w:tr>
        <w:tc>
          <w:tcPr>
            <w:tcW w:type="dxa" w:w="1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Pivot A (parked)</w:t>
            </w:r>
          </w:p>
        </w:tc>
        <w:tc>
          <w:tcPr>
            <w:tcW w:type="dxa" w:w="1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Ideation only</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Four-persona Q Business + Neptune</w:t>
            </w:r>
          </w:p>
        </w:tc>
        <w:tc>
          <w:tcPr>
            <w:tcW w:type="dxa" w:w="3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Considered Glean-clone with manager, employee, CHRO, ID personas; never built</w:t>
            </w:r>
          </w:p>
        </w:tc>
      </w:tr>
      <w:tr>
        <w:tc>
          <w:tcPr>
            <w:tcW w:type="dxa" w:w="1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v0.4</w:t>
            </w:r>
          </w:p>
        </w:tc>
        <w:tc>
          <w:tcPr>
            <w:tcW w:type="dxa" w:w="1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RFP redlining build</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Sales-facing RFP auto-answer</w:t>
            </w:r>
          </w:p>
        </w:tc>
        <w:tc>
          <w:tcPr>
            <w:tcW w:type="dxa" w:w="3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Full production architecture: Kendra + Neptune + Step Functions Distributed Map + VPC</w:t>
            </w:r>
          </w:p>
        </w:tc>
      </w:tr>
      <w:tr>
        <w:tc>
          <w:tcPr>
            <w:tcW w:type="dxa" w:w="1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v0.5</w:t>
            </w:r>
          </w:p>
        </w:tc>
        <w:tc>
          <w:tcPr>
            <w:tcW w:type="dxa" w:w="16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Consolidated demo tier</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Sales-facing RFP auto-answer</w:t>
            </w:r>
          </w:p>
        </w:tc>
        <w:tc>
          <w:tcPr>
            <w:tcW w:type="dxa" w:w="3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Stripped to essentials; added source authority tiering; freshness suppression; staleness daemon</w:t>
            </w:r>
          </w:p>
        </w:tc>
      </w:tr>
    </w:tbl>
    <w:p>
      <w:r>
        <w:br w:type="page"/>
      </w:r>
    </w:p>
    <w:p>
      <w:pPr>
        <w:pStyle w:val="Heading1"/>
        <w:spacing w:after="200" w:before="400"/>
      </w:pPr>
      <w:r>
        <w:rPr>
          <w:b/>
          <w:bCs/>
          <w:color w:val="1F4E79"/>
          <w:sz w:val="36"/>
          <w:szCs w:val="36"/>
        </w:rPr>
        <w:t xml:space="preserve">3. Phase 1 — Original Design (v0.1)</w:t>
      </w:r>
    </w:p>
    <w:p>
      <w:pPr>
        <w:pStyle w:val="Heading2"/>
        <w:spacing w:after="160" w:before="320"/>
      </w:pPr>
      <w:r>
        <w:rPr>
          <w:b/>
          <w:bCs/>
          <w:color w:val="1F4E79"/>
          <w:sz w:val="28"/>
          <w:szCs w:val="28"/>
        </w:rPr>
        <w:t xml:space="preserve">3.1 What we were solving</w:t>
      </w:r>
    </w:p>
    <w:p>
      <w:pPr>
        <w:spacing w:after="160"/>
        <w:jc w:val="both"/>
      </w:pPr>
      <w:r>
        <w:t xml:space="preserve">The original project brief was a personalized learning generator. An employee uploads a resume or profile; an agentic workflow retrieves the employee's team and recent OKRs from the HRIS, asks the requesting user what the training should focus on, references available internal content and the existing LMS catalog, and outputs a SCORM training package assigned to the employee.</w:t>
      </w:r>
    </w:p>
    <w:p>
      <w:pPr>
        <w:pStyle w:val="Heading2"/>
        <w:spacing w:after="160" w:before="320"/>
      </w:pPr>
      <w:r>
        <w:rPr>
          <w:b/>
          <w:bCs/>
          <w:color w:val="1F4E79"/>
          <w:sz w:val="28"/>
          <w:szCs w:val="28"/>
        </w:rPr>
        <w:t xml:space="preserve">3.2 Architectural choices</w:t>
      </w:r>
    </w:p>
    <w:p>
      <w:pPr>
        <w:spacing w:after="160"/>
        <w:jc w:val="both"/>
      </w:pPr>
      <w:r>
        <w:t xml:space="preserve">The foundational decision was to use AWS Step Functions Standard as a durable orchestration envelope around the non-deterministic agent reasoning, with Strands Agents (or Bedrock AgentCore as an alternative) running the reasoning loop inside a Fargate task or Lambda. The reasoning was that legal-adjacent workflows require replayable audit trails, bounded cost, and predictable latency — properties that autonomous agent loops struggle to provide.</w:t>
      </w:r>
    </w:p>
    <w:p>
      <w:pPr>
        <w:spacing w:after="160"/>
        <w:jc w:val="both"/>
      </w:pPr>
      <w:r>
        <w:t xml:space="preserve">Retrieval was Bedrock Knowledge Bases over OpenSearch Serverless. Generation used Claude Sonnet 4.6 for the planner and Claude Haiku 4.5 for sub-tasks like classification and summarization. Prompt caching on the stable system prefix was mandatory to control token costs.</w:t>
      </w:r>
    </w:p>
    <w:p>
      <w:pPr>
        <w:spacing w:after="160"/>
        <w:jc w:val="both"/>
      </w:pPr>
      <w:r>
        <w:t xml:space="preserve">Security posture from day one: VPC-isolated compute with PrivateLink endpoints to all AWS services, customer-managed KMS keys per data domain, Bedrock Guardrails on every model invocation, Macie scanning on profile uploads, and CloudTrail audit for every tool call.</w:t>
      </w:r>
    </w:p>
    <w:p>
      <w:pPr>
        <w:pStyle w:val="Heading2"/>
        <w:spacing w:after="160" w:before="320"/>
      </w:pPr>
      <w:r>
        <w:rPr>
          <w:b/>
          <w:bCs/>
          <w:color w:val="1F4E79"/>
          <w:sz w:val="28"/>
          <w:szCs w:val="28"/>
        </w:rPr>
        <w:t xml:space="preserve">3.3 Architectural primitives introduced</w:t>
      </w:r>
    </w:p>
    <w:p>
      <w:pPr>
        <w:spacing w:after="160"/>
        <w:jc w:val="both"/>
      </w:pPr>
      <w:r>
        <w:t xml:space="preserve">Two primitives established in v0.1 survived every subsequent pivot. First, the pattern of keeping LLM non-determinism inside a deterministic Step Functions envelope — this became the default position on orchestration. Second, the commitment to composite confidence scoring rather than LLM self-report, grounded in the empirical observation that modern LLMs are overconfident on wrong answers.</w:t>
      </w:r>
    </w:p>
    <w:p>
      <w:pPr>
        <w:pStyle w:val="Heading1"/>
        <w:spacing w:after="200" w:before="400"/>
      </w:pPr>
      <w:r>
        <w:rPr>
          <w:b/>
          <w:bCs/>
          <w:color w:val="1F4E79"/>
          <w:sz w:val="36"/>
          <w:szCs w:val="36"/>
        </w:rPr>
        <w:t xml:space="preserve">4. Phase 2 — CHRO Critique and Governance Layer (v0.2)</w:t>
      </w:r>
    </w:p>
    <w:p>
      <w:pPr>
        <w:pStyle w:val="Heading2"/>
        <w:spacing w:after="160" w:before="320"/>
      </w:pPr>
      <w:r>
        <w:rPr>
          <w:b/>
          <w:bCs/>
          <w:color w:val="1F4E79"/>
          <w:sz w:val="28"/>
          <w:szCs w:val="28"/>
        </w:rPr>
        <w:t xml:space="preserve">4.1 The critique</w:t>
      </w:r>
    </w:p>
    <w:p>
      <w:pPr>
        <w:spacing w:after="160"/>
        <w:jc w:val="both"/>
      </w:pPr>
      <w:r>
        <w:t xml:space="preserve">Putting on a CHRO hat surfaced several serious weaknesses in the v0.1 design. SCORM was positioned as the output format, but SCORM is a declining standard; modern LMSs and LXPs prefer xAPI/cmi5 with its behavior-change telemetry. Instructional design is a craft the system wasn't respecting — scaffolding, cognitive load management, adult learning principles, Bloom's taxonomy. The first human-in-the-loop gate captured user intent, but nothing prevented AI-generated training from reaching employees without a qualified instructional designer reviewing it.</w:t>
      </w:r>
    </w:p>
    <w:p>
      <w:pPr>
        <w:spacing w:after="160"/>
        <w:jc w:val="both"/>
      </w:pPr>
      <w:r>
        <w:t xml:space="preserve">Bias and disparate impact were the killer risks. A system that takes a resume as input and produces personalized training could encode bias against protected attributes embedded in the resume. Without a bias-control layer stripping protected attributes before model invocation, and without a fairness audit process, the system was a disparate-impact lawsuit waiting to happen.</w:t>
      </w:r>
    </w:p>
    <w:p>
      <w:pPr>
        <w:pStyle w:val="Heading2"/>
        <w:spacing w:after="160" w:before="320"/>
      </w:pPr>
      <w:r>
        <w:rPr>
          <w:b/>
          <w:bCs/>
          <w:color w:val="1F4E79"/>
          <w:sz w:val="28"/>
          <w:szCs w:val="28"/>
        </w:rPr>
        <w:t xml:space="preserve">4.2 What changed</w:t>
      </w:r>
    </w:p>
    <w:p>
      <w:pPr>
        <w:spacing w:after="160"/>
        <w:jc w:val="both"/>
      </w:pPr>
      <w:r>
        <w:t xml:space="preserve">Five additions came out of the CHRO critique. A mandatory second HITL gate for SME or ID approval before any generated content reached an employee. A bias-control layer that produced a skill-centric profile as the only representation passed to the agent, stripping protected attributes. Kirkpatrick Level 2 and Level 3 measurement built in from day one rather than bolted on later. Reframing the product as a learning architect's copilot, not an autonomous training generator. Quarterly fairness audits with General Counsel review.</w:t>
      </w:r>
    </w:p>
    <w:p>
      <w:pPr>
        <w:pStyle w:val="Heading2"/>
        <w:spacing w:after="160" w:before="320"/>
      </w:pPr>
      <w:r>
        <w:rPr>
          <w:b/>
          <w:bCs/>
          <w:color w:val="1F4E79"/>
          <w:sz w:val="28"/>
          <w:szCs w:val="28"/>
        </w:rPr>
        <w:t xml:space="preserve">4.3 The lesson</w:t>
      </w:r>
    </w:p>
    <w:p>
      <w:pPr>
        <w:spacing w:after="160"/>
        <w:jc w:val="both"/>
      </w:pPr>
      <w:r>
        <w:t xml:space="preserve">Architectural primitives that matter in enterprise AI aren't service choices — they're governance primitives. The second HITL gate became the template for how all subsequent versions handled amber/red output. The bias-control layer principle ('strip attributes before model invocation') became the template for all sensitive input handling. These patterns were reusable and portable; the surrounding tech stack was not.</w:t>
      </w:r>
    </w:p>
    <w:p>
      <w:pPr>
        <w:pStyle w:val="Heading1"/>
        <w:spacing w:after="200" w:before="400"/>
      </w:pPr>
      <w:r>
        <w:rPr>
          <w:b/>
          <w:bCs/>
          <w:color w:val="1F4E79"/>
          <w:sz w:val="36"/>
          <w:szCs w:val="36"/>
        </w:rPr>
        <w:t xml:space="preserve">5. Phase 3 — Scope Trimming (v0.3)</w:t>
      </w:r>
    </w:p>
    <w:p>
      <w:pPr>
        <w:spacing w:after="160"/>
        <w:jc w:val="both"/>
      </w:pPr>
      <w:r>
        <w:t xml:space="preserve">The CHRO-reviewed v0.2 plan positioned xAPI as the primary output with SCORM as a legacy fallback. Closer examination showed the fallback doubled the packager surface area, the conformance test surface, and the LMS publish paths for no ROI benefit. v0.3 removed SCORM entirely, making xAPI the sole output format and saving roughly half a day of build time. The lesson: if a target system cannot ingest the chosen output format, fix that prerequisite before building — do not fork the output pipeline.</w:t>
      </w:r>
    </w:p>
    <w:p>
      <w:pPr>
        <w:pStyle w:val="Heading1"/>
        <w:spacing w:after="200" w:before="400"/>
      </w:pPr>
      <w:r>
        <w:rPr>
          <w:b/>
          <w:bCs/>
          <w:color w:val="1F4E79"/>
          <w:sz w:val="36"/>
          <w:szCs w:val="36"/>
        </w:rPr>
        <w:t xml:space="preserve">6. First Pivot (Parked) — Q Business and Neptune as a Glean-Clone</w:t>
      </w:r>
    </w:p>
    <w:p>
      <w:pPr>
        <w:spacing w:after="160"/>
        <w:jc w:val="both"/>
      </w:pPr>
      <w:r>
        <w:t xml:space="preserve">Before the final RFP pivot, the project briefly considered a multi-persona architecture combining Amazon Q Business and Neptune to approximate Glean's knowledge graph functionality. Four personas: manager (autonomous onboarding workflow triggered on HRIS events), employee (cross-system document search), CHRO (training analytics), and instructional designer (employee-specific training creation).</w:t>
      </w:r>
    </w:p>
    <w:p>
      <w:pPr>
        <w:spacing w:after="160"/>
        <w:jc w:val="both"/>
      </w:pPr>
      <w:r>
        <w:t xml:space="preserve">This direction was wiped rather than built. Two reasons drove the decision. First, the honest critique from the architect hat was that Q Business and Neptune overlap with each other at the retrieval layer — Q Business uses Kendra under the hood, and Neptune adds graph traversal on top. Without a clear answer to 'what specific query does Neptune answer that Q alone cannot?', Neptune was architectural theater. Second, Glean's value isn't just search and graph — it's also activity signals (who edited what, who mentioned whom), which neither Q Business nor Neptune provides out of the box.</w:t>
      </w:r>
    </w:p>
    <w:p>
      <w:pPr>
        <w:spacing w:after="160"/>
        <w:jc w:val="both"/>
      </w:pPr>
      <w:r>
        <w:t xml:space="preserve">The lesson carried forward: parked ideas stay parked. The project's working memory captures this principle explicitly so future iterations don't revive dropped directions.</w:t>
      </w:r>
    </w:p>
    <w:p>
      <w:pPr>
        <w:pStyle w:val="Heading1"/>
        <w:spacing w:after="200" w:before="400"/>
      </w:pPr>
      <w:r>
        <w:rPr>
          <w:b/>
          <w:bCs/>
          <w:color w:val="1F4E79"/>
          <w:sz w:val="36"/>
          <w:szCs w:val="36"/>
        </w:rPr>
        <w:t xml:space="preserve">7. Phase 5 — Second Pivot to RFP Redlining (v0.4)</w:t>
      </w:r>
    </w:p>
    <w:p>
      <w:pPr>
        <w:pStyle w:val="Heading2"/>
        <w:spacing w:after="160" w:before="320"/>
      </w:pPr>
      <w:r>
        <w:rPr>
          <w:b/>
          <w:bCs/>
          <w:color w:val="1F4E79"/>
          <w:sz w:val="28"/>
          <w:szCs w:val="28"/>
        </w:rPr>
        <w:t xml:space="preserve">7.1 Why RFP redlining</w:t>
      </w:r>
    </w:p>
    <w:p>
      <w:pPr>
        <w:spacing w:after="160"/>
        <w:jc w:val="both"/>
      </w:pPr>
      <w:r>
        <w:t xml:space="preserve">The learning use case was consistently hitting governance complexity that overwhelmed the architectural story. RFP redlining was a cleaner fit — high-ROI sales workflow, measurable before/after (hours saved per RFP), universal pain point across enterprise sales organizations, and a natural ecosystem of existing tools (Loopio, Responsive, Arphie) to frame build-versus-buy reasoning.</w:t>
      </w:r>
    </w:p>
    <w:p>
      <w:pPr>
        <w:pStyle w:val="Heading2"/>
        <w:spacing w:after="160" w:before="320"/>
      </w:pPr>
      <w:r>
        <w:rPr>
          <w:b/>
          <w:bCs/>
          <w:color w:val="1F4E79"/>
          <w:sz w:val="28"/>
          <w:szCs w:val="28"/>
        </w:rPr>
        <w:t xml:space="preserve">7.2 The v0.4 production architecture</w:t>
      </w:r>
    </w:p>
    <w:p>
      <w:pPr>
        <w:spacing w:after="160"/>
        <w:jc w:val="both"/>
      </w:pPr>
      <w:r>
        <w:t xml:space="preserve">The RFP redlining direction was built out to a full production-scale architecture: seven CDK stacks, ten Lambda functions, eighteen passing tests, synthetic data generator producing a thirty-question security questionnaire plus three historical RFPs, and end-to-end local smoke-test producing a valid color-coded output workbook.</w:t>
      </w:r>
    </w:p>
    <w:p>
      <w:pPr>
        <w:spacing w:after="160"/>
        <w:jc w:val="both"/>
      </w:pPr>
      <w:r>
        <w:t xml:space="preserve">Core services: Amazon Kendra as the unified retrieval layer indexing Seismic, Gong, CMS, historical RFPs, and S3; Amazon Neptune Serverless for relationship queries that Kendra could not express; Step Functions Standard with Distributed Map fanning out per-question work at concurrency twenty-five; Amazon Bedrock with Claude Sonnet 4.6 and Haiku 4.5; Bedrock Guardrails wired to the generator Lambda; VPC-isolated compute with PrivateLink endpoints; customer-managed KMS keys; full audit trail via CloudTrail and X-Ray.</w:t>
      </w:r>
    </w:p>
    <w:p>
      <w:pPr>
        <w:pStyle w:val="Heading2"/>
        <w:spacing w:after="160" w:before="320"/>
      </w:pPr>
      <w:r>
        <w:rPr>
          <w:b/>
          <w:bCs/>
          <w:color w:val="1F4E79"/>
          <w:sz w:val="28"/>
          <w:szCs w:val="28"/>
        </w:rPr>
        <w:t xml:space="preserve">7.3 The composite confidence score — locked in</w:t>
      </w:r>
    </w:p>
    <w:p>
      <w:pPr>
        <w:spacing w:after="160"/>
        <w:jc w:val="both"/>
      </w:pPr>
      <w:r>
        <w:t xml:space="preserve">The confidence scoring algorithm landed in v0.4 and has not changed since. Five signals, weighted:</w:t>
      </w:r>
    </w:p>
    <w:p>
      <w:pPr>
        <w:pStyle w:val="ListParagraph"/>
        <w:numPr>
          <w:ilvl w:val="0"/>
          <w:numId w:val="2"/>
        </w:numPr>
        <w:spacing w:after="80"/>
      </w:pPr>
      <w:r>
        <w:rPr>
          <w:b/>
          <w:bCs/>
        </w:rPr>
        <w:t xml:space="preserve">H (0.45)</w:t>
      </w:r>
      <w:r>
        <w:t xml:space="preserve"> — prior-answer match similarity, the highest-weighted signal since an SME-approved answer to a semantically similar question is the gold standard</w:t>
      </w:r>
    </w:p>
    <w:p>
      <w:pPr>
        <w:pStyle w:val="ListParagraph"/>
        <w:numPr>
          <w:ilvl w:val="0"/>
          <w:numId w:val="2"/>
        </w:numPr>
        <w:spacing w:after="80"/>
      </w:pPr>
      <w:r>
        <w:rPr>
          <w:b/>
          <w:bCs/>
        </w:rPr>
        <w:t xml:space="preserve">R (0.25)</w:t>
      </w:r>
      <w:r>
        <w:t xml:space="preserve"> — retrieval strength from the top-K passages</w:t>
      </w:r>
    </w:p>
    <w:p>
      <w:pPr>
        <w:pStyle w:val="ListParagraph"/>
        <w:numPr>
          <w:ilvl w:val="0"/>
          <w:numId w:val="2"/>
        </w:numPr>
        <w:spacing w:after="80"/>
      </w:pPr>
      <w:r>
        <w:rPr>
          <w:b/>
          <w:bCs/>
        </w:rPr>
        <w:t xml:space="preserve">C (0.15)</w:t>
      </w:r>
      <w:r>
        <w:t xml:space="preserve"> — source coverage, with bonus for multi-source agreement</w:t>
      </w:r>
    </w:p>
    <w:p>
      <w:pPr>
        <w:pStyle w:val="ListParagraph"/>
        <w:numPr>
          <w:ilvl w:val="0"/>
          <w:numId w:val="2"/>
        </w:numPr>
        <w:spacing w:after="80"/>
      </w:pPr>
      <w:r>
        <w:rPr>
          <w:b/>
          <w:bCs/>
        </w:rPr>
        <w:t xml:space="preserve">F (0.10)</w:t>
      </w:r>
      <w:r>
        <w:t xml:space="preserve"> — freshness decay on cited sources</w:t>
      </w:r>
    </w:p>
    <w:p>
      <w:pPr>
        <w:pStyle w:val="ListParagraph"/>
        <w:numPr>
          <w:ilvl w:val="0"/>
          <w:numId w:val="2"/>
        </w:numPr>
        <w:spacing w:after="80"/>
      </w:pPr>
      <w:r>
        <w:rPr>
          <w:b/>
          <w:bCs/>
        </w:rPr>
        <w:t xml:space="preserve">G (0.05)</w:t>
      </w:r>
      <w:r>
        <w:t xml:space="preserve"> — Guardrail clean, a small penalty when policy filters fire</w:t>
      </w:r>
    </w:p>
    <w:p>
      <w:pPr>
        <w:spacing w:after="160"/>
        <w:jc w:val="both"/>
      </w:pPr>
      <w:r>
        <w:t xml:space="preserve">Thresholds: at or above 0.80 is green, between 0.55 and 0.80 is amber, below 0.55 is red. An H-zero safeguard caps the tier at amber when no comparable prior answer exists, preventing green answers on unsupported content. Weights were tuned offline against labeled data; production deployments recalibrate quarterly as the library grows.</w:t>
      </w:r>
    </w:p>
    <w:p>
      <w:pPr>
        <w:pStyle w:val="Heading2"/>
        <w:spacing w:after="160" w:before="320"/>
      </w:pPr>
      <w:r>
        <w:rPr>
          <w:b/>
          <w:bCs/>
          <w:color w:val="1F4E79"/>
          <w:sz w:val="28"/>
          <w:szCs w:val="28"/>
        </w:rPr>
        <w:t xml:space="preserve">7.4 The hard-rules engine — also locked</w:t>
      </w:r>
    </w:p>
    <w:p>
      <w:pPr>
        <w:spacing w:after="160"/>
        <w:jc w:val="both"/>
      </w:pPr>
      <w:r>
        <w:t xml:space="preserve">Five rules, enforced after composite scoring. They can only demote tiers, never promote. Each is an enterprise-legal constraint reviewed by General Counsel, not an AI-safety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Rule</w:t>
            </w:r>
          </w:p>
        </w:tc>
        <w:tc>
          <w:tcPr>
            <w:tcW w:type="dxa" w:w="18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Effect</w:t>
            </w:r>
          </w:p>
        </w:tc>
        <w:tc>
          <w:tcPr>
            <w:tcW w:type="dxa" w:w="47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Rationale</w:t>
            </w:r>
          </w:p>
        </w:tc>
      </w:tr>
      <w:tr>
        <w:tc>
          <w:tcPr>
            <w:tcW w:type="dxa" w:w="2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Pricing / commercial language</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Forced RED</w:t>
            </w:r>
          </w:p>
        </w:tc>
        <w:tc>
          <w:tcPr>
            <w:tcW w:type="dxa" w:w="4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Unsigned RFP containing pricing can constitute an offer under some procurement law</w:t>
            </w:r>
          </w:p>
        </w:tc>
      </w:tr>
      <w:tr>
        <w:tc>
          <w:tcPr>
            <w:tcW w:type="dxa" w:w="2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Compliance or certification claim</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Minimum AMBER</w:t>
            </w:r>
          </w:p>
        </w:tc>
        <w:tc>
          <w:tcPr>
            <w:tcW w:type="dxa" w:w="4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Hallucinated certification claim is grounds for a breach-of-warranty claim later</w:t>
            </w:r>
          </w:p>
        </w:tc>
      </w:tr>
      <w:tr>
        <w:tc>
          <w:tcPr>
            <w:tcW w:type="dxa" w:w="2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Unapproved customer reference</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Minimum AMBER</w:t>
            </w:r>
          </w:p>
        </w:tc>
        <w:tc>
          <w:tcPr>
            <w:tcW w:type="dxa" w:w="4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Logo rights and case study approval status gate; references must be pre-approved</w:t>
            </w:r>
          </w:p>
        </w:tc>
      </w:tr>
      <w:tr>
        <w:tc>
          <w:tcPr>
            <w:tcW w:type="dxa" w:w="2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Forward-looking statement</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Minimum AMBER</w:t>
            </w:r>
          </w:p>
        </w:tc>
        <w:tc>
          <w:tcPr>
            <w:tcW w:type="dxa" w:w="4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Commitment risk on unratified roadmap content</w:t>
            </w:r>
          </w:p>
        </w:tc>
      </w:tr>
      <w:tr>
        <w:tc>
          <w:tcPr>
            <w:tcW w:type="dxa" w:w="2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Competitor disparagement</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Forced RED</w:t>
            </w:r>
          </w:p>
        </w:tc>
        <w:tc>
          <w:tcPr>
            <w:tcW w:type="dxa" w:w="4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Legal exposure plus brand damage</w:t>
            </w:r>
          </w:p>
        </w:tc>
      </w:tr>
    </w:tbl>
    <w:p>
      <w:pPr>
        <w:pStyle w:val="Heading1"/>
        <w:spacing w:after="200" w:before="400"/>
      </w:pPr>
      <w:r>
        <w:rPr>
          <w:b/>
          <w:bCs/>
          <w:color w:val="1F4E79"/>
          <w:sz w:val="36"/>
          <w:szCs w:val="36"/>
        </w:rPr>
        <w:t xml:space="preserve">8. Phase 6 — Cost Realization</w:t>
      </w:r>
    </w:p>
    <w:p>
      <w:pPr>
        <w:spacing w:after="160"/>
        <w:jc w:val="both"/>
      </w:pPr>
      <w:r>
        <w:t xml:space="preserve">The v0.4 architecture deployed correctly but carried an uncomfortable cost profile: approximately $1,250 per month in fixed charges when left running. Amazon Kendra Developer Edition was the single largest line at around $810 per month, followed by Neptune Serverless at approximately $250 per month at minimum NCU capacity, and VPC interface endpoints at roughly $100 per month across seven endpoints in two availability zones.</w:t>
      </w:r>
    </w:p>
    <w:p>
      <w:pPr>
        <w:spacing w:after="160"/>
        <w:jc w:val="both"/>
      </w:pPr>
      <w:r>
        <w:t xml:space="preserve">Two realizations emerged. First, approximately ninety-eight percent of the monthly cost was fixed infrastructure, not actual compute — the system cost the same whether anyone was running RFPs or not. Second, an on-demand deployment pattern (destroy between demos, redeploy for the next demo) reduced the cost to approximately three dollars per one-hour demo cycle. The nuclear cost lever was ephemeral deployment, not service swaps.</w:t>
      </w:r>
    </w:p>
    <w:p>
      <w:pPr>
        <w:spacing w:after="160"/>
        <w:jc w:val="both"/>
      </w:pPr>
      <w:r>
        <w:t xml:space="preserve">The honest business-user critique reinforced the point. At production volumes the cost profile can be defended because Kendra's ACL inheritance and native connectors earn their price. At a synthetic-data demo scale where the corpus is fifty documents in one S3 bucket, Kendra's $810 was paying for capabilities the demo wasn't using.</w:t>
      </w:r>
    </w:p>
    <w:p>
      <w:pPr>
        <w:spacing w:after="160"/>
        <w:jc w:val="both"/>
      </w:pPr>
      <w:r>
        <w:t xml:space="preserve">This cost realization drove the v0.5 consolidation.</w:t>
      </w:r>
    </w:p>
    <w:p>
      <w:pPr>
        <w:pStyle w:val="Heading1"/>
        <w:spacing w:after="200" w:before="400"/>
      </w:pPr>
      <w:r>
        <w:rPr>
          <w:b/>
          <w:bCs/>
          <w:color w:val="1F4E79"/>
          <w:sz w:val="36"/>
          <w:szCs w:val="36"/>
        </w:rPr>
        <w:t xml:space="preserve">9. Phase 7 — Data Source Simulation and API Optimization</w:t>
      </w:r>
    </w:p>
    <w:p>
      <w:pPr>
        <w:pStyle w:val="Heading2"/>
        <w:spacing w:after="160" w:before="320"/>
      </w:pPr>
      <w:r>
        <w:rPr>
          <w:b/>
          <w:bCs/>
          <w:color w:val="1F4E79"/>
          <w:sz w:val="28"/>
          <w:szCs w:val="28"/>
        </w:rPr>
        <w:t xml:space="preserve">9.1 The five simulated sources</w:t>
      </w:r>
    </w:p>
    <w:p>
      <w:pPr>
        <w:spacing w:after="160"/>
        <w:jc w:val="both"/>
      </w:pPr>
      <w:r>
        <w:t xml:space="preserve">To tell the 'Glean-adjacent on AWS' story at interview scale, five simulated data sources were designed. Each represents a distinct architectural pattern so that if they were all S3 buckets the multi-source integration narrative would not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Source</w:t>
            </w:r>
          </w:p>
        </w:tc>
        <w:tc>
          <w:tcPr>
            <w:tcW w:type="dxa" w:w="3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Simulation</w:t>
            </w:r>
          </w:p>
        </w:tc>
        <w:tc>
          <w:tcPr>
            <w:tcW w:type="dxa" w:w="43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Pattern demonstrated</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Prior RFPs library</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 with JSON per Q&amp;A + approval metadata</w:t>
            </w:r>
          </w:p>
        </w:tc>
        <w:tc>
          <w:tcPr>
            <w:tcW w:type="dxa" w:w="4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Large corpus, phrasing reference only, freshness-critical</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Compliance store</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 with PDFs + JSON sidecars</w:t>
            </w:r>
          </w:p>
        </w:tc>
        <w:tc>
          <w:tcPr>
            <w:tcW w:type="dxa" w:w="4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Small, high-authority, freshness-critical, hard-rule pins here</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Seismic and Gong</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One Lambda + API Gateway with path routing</w:t>
            </w:r>
          </w:p>
        </w:tc>
        <w:tc>
          <w:tcPr>
            <w:tcW w:type="dxa" w:w="4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External REST API pattern: OAuth-style auth, simulated latency, rate limits</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Customer References</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DynamoDB table with approval status</w:t>
            </w:r>
          </w:p>
        </w:tc>
        <w:tc>
          <w:tcPr>
            <w:tcW w:type="dxa" w:w="4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Fast point lookup, authoritative gate for reference-customer hard rule</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documentation</w:t>
            </w:r>
          </w:p>
        </w:tc>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S3 bucket with whitepapers and policies</w:t>
            </w:r>
          </w:p>
        </w:tc>
        <w:tc>
          <w:tcPr>
            <w:tcW w:type="dxa" w:w="4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Medium corpus, feature-capability authority</w:t>
            </w:r>
          </w:p>
        </w:tc>
      </w:tr>
    </w:tbl>
    <w:p>
      <w:pPr>
        <w:pStyle w:val="Heading2"/>
        <w:spacing w:after="160" w:before="320"/>
      </w:pPr>
      <w:r>
        <w:rPr>
          <w:b/>
          <w:bCs/>
          <w:color w:val="1F4E79"/>
          <w:sz w:val="28"/>
          <w:szCs w:val="28"/>
        </w:rPr>
        <w:t xml:space="preserve">9.2 API call optimization techniques</w:t>
      </w:r>
    </w:p>
    <w:p>
      <w:pPr>
        <w:spacing w:after="160"/>
        <w:jc w:val="both"/>
      </w:pPr>
      <w:r>
        <w:t xml:space="preserve">Four techniques layered. Each appears as a distinct decision in the demo so the architectural value is visibly demonstrated rather than merely claimed.</w:t>
      </w:r>
    </w:p>
    <w:p>
      <w:pPr>
        <w:spacing w:after="160"/>
        <w:jc w:val="both"/>
      </w:pPr>
      <w:r>
        <w:rPr>
          <w:b/>
          <w:bCs/>
        </w:rPr>
        <w:t xml:space="preserve">Topic routing. </w:t>
      </w:r>
      <w:r>
        <w:t xml:space="preserve">The classifier Lambda outputs both topic labels and a dispatch plan. A SOC 2 question dispatches to the compliance store and prior RFPs only — not Seismic, Gong, or customer references. Naive 'query everything' wastes sixty percent of API calls; topic routing eliminates that waste.</w:t>
      </w:r>
    </w:p>
    <w:p>
      <w:pPr>
        <w:spacing w:after="160"/>
        <w:jc w:val="both"/>
      </w:pPr>
      <w:r>
        <w:rPr>
          <w:b/>
          <w:bCs/>
        </w:rPr>
        <w:t xml:space="preserve">Parallel fan-out. </w:t>
      </w:r>
      <w:r>
        <w:t xml:space="preserve">Within a question, relevant sources are called concurrently via asyncio.gather. Latency drops from the sum of source latencies to the maximum. For a three-source question at 120ms, 350ms, and 50ms, sequential is 520ms and parallel is 350ms — a thirty-three percent speedup that compounds across the full RFP.</w:t>
      </w:r>
    </w:p>
    <w:p>
      <w:pPr>
        <w:spacing w:after="160"/>
        <w:jc w:val="both"/>
      </w:pPr>
      <w:r>
        <w:rPr>
          <w:b/>
          <w:bCs/>
        </w:rPr>
        <w:t xml:space="preserve">Two-layer cache. </w:t>
      </w:r>
      <w:r>
        <w:t xml:space="preserve">A DynamoDB cache keyed by (source, query hash) with TTL equal to job duration means cross-question retrievals hit the cache on the second occurrence. For a thirty-question RFP with realistic topic overlap, expect approximately forty percent cache hit rate on second-half questions. Separately, Bedrock prompt caching on the stable system prefix reduces input-token cost by roughly seventy percent on the second through Nth invocations.</w:t>
      </w:r>
    </w:p>
    <w:p>
      <w:pPr>
        <w:spacing w:after="160"/>
        <w:jc w:val="both"/>
      </w:pPr>
      <w:r>
        <w:rPr>
          <w:b/>
          <w:bCs/>
        </w:rPr>
        <w:t xml:space="preserve">Circuit breakers and graceful degradation. </w:t>
      </w:r>
      <w:r>
        <w:t xml:space="preserve">Each source adapter has a circuit breaker — three consecutive failures and the source is skipped for the remainder of the job, with the question's audit record marked source_degraded. The composite confidence's C signal naturally downweights answers missing a source. The demo can show Gong going down mid-run while the system continues producing answers, flagged amber with an explicit degradation trigger.</w:t>
      </w:r>
    </w:p>
    <w:p>
      <w:pPr>
        <w:pStyle w:val="Heading1"/>
        <w:spacing w:after="200" w:before="400"/>
      </w:pPr>
      <w:r>
        <w:rPr>
          <w:b/>
          <w:bCs/>
          <w:color w:val="1F4E79"/>
          <w:sz w:val="36"/>
          <w:szCs w:val="36"/>
        </w:rPr>
        <w:t xml:space="preserve">10. Phase 8 — Source Authority and the Stale-Content Problem (v0.5)</w:t>
      </w:r>
    </w:p>
    <w:p>
      <w:pPr>
        <w:pStyle w:val="Heading2"/>
        <w:spacing w:after="160" w:before="320"/>
      </w:pPr>
      <w:r>
        <w:rPr>
          <w:b/>
          <w:bCs/>
          <w:color w:val="1F4E79"/>
          <w:sz w:val="28"/>
          <w:szCs w:val="28"/>
        </w:rPr>
        <w:t xml:space="preserve">10.1 The critique that changed everything</w:t>
      </w:r>
    </w:p>
    <w:p>
      <w:pPr>
        <w:pBdr>
          <w:left w:val="single" w:color="1F4E79" w:sz="24" w:space="12"/>
        </w:pBdr>
        <w:spacing w:after="160" w:before="160"/>
        <w:ind w:left="720" w:right="720"/>
      </w:pPr>
      <w:r>
        <w:rPr>
          <w:i/>
          <w:iCs/>
          <w:color w:val="595959"/>
        </w:rPr>
        <w:t xml:space="preserve">Prior RFPs run the risk of propagating misinformation or stale data. There must be an algorithm to segregate queries and corroborate some queries with trusted sources of information. The confidence score logic must stay and as must the feedback loop.</w:t>
      </w:r>
    </w:p>
    <w:p>
      <w:pPr>
        <w:spacing w:after="160"/>
        <w:jc w:val="both"/>
      </w:pPr>
      <w:r>
        <w:t xml:space="preserve">This critique named the single biggest failure mode of every RFP tool on the market: Loopio, Responsive, and Arphie all ship with this exact problem, which is why most of them bolt on 'answer decay' features as premium add-ons. A prior RFP that was accurate when an SME approved it becomes a lie eighteen months later as the product evolves, the SOC 2 scope changes, or a feature gets deprecated. Without a corroboration discipline, the system confidently generates yesterday's truth for tomorrow's prospect. That behavior is the default of every vector-RAG plus approved-library pattern.</w:t>
      </w:r>
    </w:p>
    <w:p>
      <w:pPr>
        <w:pStyle w:val="Heading2"/>
        <w:spacing w:after="160" w:before="320"/>
      </w:pPr>
      <w:r>
        <w:rPr>
          <w:b/>
          <w:bCs/>
          <w:color w:val="1F4E79"/>
          <w:sz w:val="28"/>
          <w:szCs w:val="28"/>
        </w:rPr>
        <w:t xml:space="preserve">10.2 The principle — source authority is topic-dependent</w:t>
      </w:r>
    </w:p>
    <w:p>
      <w:pPr>
        <w:spacing w:after="160"/>
        <w:jc w:val="both"/>
      </w:pPr>
      <w:r>
        <w:t xml:space="preserve">Not every source is equally authoritative for every question. A SOC 2 question's source of truth is the current SOC 2 bridge letter, not a prior RFP that quoted an older one. A feature-capability question's source of truth is current product documentation or a Jira shipped flag. A pricing question's source of truth is the Deal Desk, never the answer library.</w:t>
      </w:r>
    </w:p>
    <w:p>
      <w:pPr>
        <w:spacing w:after="160"/>
        <w:jc w:val="both"/>
      </w:pPr>
      <w:r>
        <w:t xml:space="preserve">Prior RFPs are excellent for phrasing — how articulations of technical claims read to enterprise audiences in the brand voice. They are dangerous for facts. Treat them as a style reference, not a factual authority.</w:t>
      </w:r>
    </w:p>
    <w:p>
      <w:pPr>
        <w:pStyle w:val="Heading2"/>
        <w:spacing w:after="160" w:before="320"/>
      </w:pPr>
      <w:r>
        <w:rPr>
          <w:b/>
          <w:bCs/>
          <w:color w:val="1F4E79"/>
          <w:sz w:val="28"/>
          <w:szCs w:val="28"/>
        </w:rPr>
        <w:t xml:space="preserve">10.3 The source authority matrix</w:t>
      </w:r>
    </w:p>
    <w:p>
      <w:pPr>
        <w:spacing w:after="160"/>
        <w:jc w:val="both"/>
      </w:pPr>
      <w:r>
        <w:t xml:space="preserve">For each topic, a dispatch plan declares Primary (authoritative), Secondary (phrasing reference), and Tertiary (context) sources, plus optional corroboration and force-tier policies. The plan is a Python dictionary in the demo tier; in production it becomes a YAML config reviewed quarterly by Product Marketing, Compliance, and General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Topic</w:t>
            </w:r>
          </w:p>
        </w:tc>
        <w:tc>
          <w:tcPr>
            <w:tcW w:type="dxa" w:w="32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Primary</w:t>
            </w:r>
          </w:p>
        </w:tc>
        <w:tc>
          <w:tcPr>
            <w:tcW w:type="dxa" w:w="37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Policy</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SOC 2 / ISO 27001</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Compliance store (bridge letters, certificates)</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 cap amber without Primary</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Encryption at rest</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docs, security whitepaper</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Feature capability</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Product docs + Jira shipped flag</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required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Pricing</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Deal Desk</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Force tier RED; pricing never auto-generated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Customer reference</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Customer References DB</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DB gate; amber if invoked name not pre-approved</w:t>
            </w:r>
          </w:p>
        </w:tc>
      </w:tr>
      <w:tr>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Brand positioning</w:t>
            </w:r>
          </w:p>
        </w:tc>
        <w:tc>
          <w:tcPr>
            <w:tcW w:type="dxa" w:w="32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Marketing CMS</w:t>
            </w:r>
          </w:p>
        </w:tc>
        <w:tc>
          <w:tcPr>
            <w:tcW w:type="dxa" w:w="37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Corroboration not required; prior RFPs reinforce phrasing</w:t>
            </w:r>
          </w:p>
        </w:tc>
      </w:tr>
    </w:tbl>
    <w:p>
      <w:pPr>
        <w:pStyle w:val="Heading2"/>
        <w:spacing w:after="160" w:before="320"/>
      </w:pPr>
      <w:r>
        <w:rPr>
          <w:b/>
          <w:bCs/>
          <w:color w:val="1F4E79"/>
          <w:sz w:val="28"/>
          <w:szCs w:val="28"/>
        </w:rPr>
        <w:t xml:space="preserve">10.4 The four corroboration rules</w:t>
      </w:r>
    </w:p>
    <w:p>
      <w:pPr>
        <w:spacing w:after="160"/>
        <w:jc w:val="both"/>
      </w:pPr>
      <w:r>
        <w:rPr>
          <w:b/>
          <w:bCs/>
        </w:rPr>
        <w:t xml:space="preserve">Rule 1 — Freshness suppression. </w:t>
      </w:r>
      <w:r>
        <w:t xml:space="preserve">If a prior RFP's approved_at is older than a Primary source's updated_at, the prior is suppressed entirely from retrieval. It never reaches the generator. The audit log records the suppression reason. Cheap (two timestamp comparisons), deterministic (no LLM needed), and addresses the single highest-risk failure mode.</w:t>
      </w:r>
    </w:p>
    <w:p>
      <w:pPr>
        <w:spacing w:after="160"/>
        <w:jc w:val="both"/>
      </w:pPr>
      <w:r>
        <w:rPr>
          <w:b/>
          <w:bCs/>
        </w:rPr>
        <w:t xml:space="preserve">Rule 2 — Primary required. </w:t>
      </w:r>
      <w:r>
        <w:t xml:space="preserve">When the dispatch plan requires corroboration and no Primary source returns hits, the answer tier is capped at amber regardless of composite score. This catches the case where a new feature shipped but the library doesn't yet know about it.</w:t>
      </w:r>
    </w:p>
    <w:p>
      <w:pPr>
        <w:spacing w:after="160"/>
        <w:jc w:val="both"/>
      </w:pPr>
      <w:r>
        <w:rPr>
          <w:b/>
          <w:bCs/>
        </w:rPr>
        <w:t xml:space="preserve">Rule 3 — Force-tier override. </w:t>
      </w:r>
      <w:r>
        <w:t xml:space="preserve">Some topics (pricing, commercial terms) carry an absolute force_tier directive that the hard-rules engine applies regardless of generator output or composite score.</w:t>
      </w:r>
    </w:p>
    <w:p>
      <w:pPr>
        <w:spacing w:after="160"/>
        <w:jc w:val="both"/>
      </w:pPr>
      <w:r>
        <w:rPr>
          <w:b/>
          <w:bCs/>
        </w:rPr>
        <w:t xml:space="preserve">Rule 4 — Customer name gating. </w:t>
      </w:r>
      <w:r>
        <w:t xml:space="preserve">Answers that invoke a customer name are validated against the Customer References DB's public_reference flag and approval_expires timestamp. Invoked names not on the approved list force amber with a specific trigger.</w:t>
      </w:r>
    </w:p>
    <w:p>
      <w:pPr>
        <w:pStyle w:val="Heading2"/>
        <w:spacing w:after="160" w:before="320"/>
      </w:pPr>
      <w:r>
        <w:rPr>
          <w:b/>
          <w:bCs/>
          <w:color w:val="1F4E79"/>
          <w:sz w:val="28"/>
          <w:szCs w:val="28"/>
        </w:rPr>
        <w:t xml:space="preserve">10.5 The enhanced feedback loop</w:t>
      </w:r>
    </w:p>
    <w:p>
      <w:pPr>
        <w:spacing w:after="160"/>
        <w:jc w:val="both"/>
      </w:pPr>
      <w:r>
        <w:t xml:space="preserve">The existing SME feedback loop was preserved and hardened against decay. When an SME approves an answer, the approval record now captures which Primary source corroborated it at approval time, plus the approval timestamp. A staleness daemon — scheduled EventBridge Lambda running daily, plus a manual-trigger endpoint for on-demand demo use — checks each corroborating source's updated_at. When a Primary source updates, every approved answer that corroborated against the old version is marked corroboration_stale and falls out of the H signal until re-approved.</w:t>
      </w:r>
    </w:p>
    <w:p>
      <w:pPr>
        <w:spacing w:after="160"/>
        <w:jc w:val="both"/>
      </w:pPr>
      <w:r>
        <w:t xml:space="preserve">This closes the loop. Approvals have a shelf life tied to their corroborating source. The library self-cleans instead of rotting.</w:t>
      </w:r>
    </w:p>
    <w:p>
      <w:pPr>
        <w:pStyle w:val="Heading2"/>
        <w:spacing w:after="160" w:before="320"/>
      </w:pPr>
      <w:r>
        <w:rPr>
          <w:b/>
          <w:bCs/>
          <w:color w:val="1F4E79"/>
          <w:sz w:val="28"/>
          <w:szCs w:val="28"/>
        </w:rPr>
        <w:t xml:space="preserve">10.6 What the composite score did not need to change</w:t>
      </w:r>
    </w:p>
    <w:p>
      <w:pPr>
        <w:spacing w:after="160"/>
        <w:jc w:val="both"/>
      </w:pPr>
      <w:r>
        <w:t xml:space="preserve">A key design discipline: the composite confidence math stayed identical. The corroboration discipline works by filtering retrieval (Rule 1) and capping tiers (Rules 2-4), not by adding new scoring dimensions. The existing H/R/C/F/G weights were unaffected. Stale priors simply return to zero in the H signal because they are suppressed upstream, and the existing H-zero safeguard naturally caps the tier at amber.</w:t>
      </w:r>
    </w:p>
    <w:p>
      <w:pPr>
        <w:pStyle w:val="Heading1"/>
        <w:spacing w:after="200" w:before="400"/>
      </w:pPr>
      <w:r>
        <w:rPr>
          <w:b/>
          <w:bCs/>
          <w:color w:val="1F4E79"/>
          <w:sz w:val="36"/>
          <w:szCs w:val="36"/>
        </w:rPr>
        <w:t xml:space="preserve">11. Key Architectural Decisions (Catalog)</w:t>
      </w:r>
    </w:p>
    <w:p>
      <w:pPr>
        <w:spacing w:after="160"/>
        <w:jc w:val="both"/>
      </w:pPr>
      <w:r>
        <w:t xml:space="preserve">The most consequential decisions across the project lifecycle, each with the alternatives considered and the rationale for the chosen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Decision</w:t>
            </w:r>
          </w:p>
        </w:tc>
        <w:tc>
          <w:tcPr>
            <w:tcW w:type="dxa" w:w="18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Chosen</w:t>
            </w:r>
          </w:p>
        </w:tc>
        <w:tc>
          <w:tcPr>
            <w:tcW w:type="dxa" w:w="24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Alternatives considered</w:t>
            </w:r>
          </w:p>
        </w:tc>
        <w:tc>
          <w:tcPr>
            <w:tcW w:type="dxa" w:w="31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Rationale</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Orchestration model</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Step Functions Standard</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Bedrock Agents, AgentCore, custom ReAct loop</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Legal-adjacent workflow needs replayable audit, bounded cost, predictable latency</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Confidence signal</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Composite (H, R, C, F, G)</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LLM self-reported confidence</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Empirically LLMs are overconfident on wrong answers</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Source authority</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Topic-tiered Primary/Secondary/Tertiary</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Flat corpus with vector similarity</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Prevents stale-content propagation, which is the failure mode of every RFP tool</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Hard rules</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Enterprise-legal regex + config</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Rely on Guardrails only</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Guardrails are second layer; first layer must be deterministic and auditable</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Retrieval layer (demo)</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Direct S3 + DynamoDB + mock APIs</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Amazon Kendra unified index</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Kendra earns place at production scale; cost and complexity too high for demo</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Graph database</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DynamoDB (demo), Neptune (scale-up)</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Always Neptune</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Single-hop queries at demo scale don't justify Neptune's cost</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IaC</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CDK TypeScript</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Terraform, SAM, CloudFormation</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Best IDE experience for Lambda + Step Functions + IAM patterns</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Lambda language</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Python 3.12</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TypeScript, Go</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openpyxl is Python-native; pydantic/boto3 ecosystem fit</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Lambda bundling</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PythonFunction with Docker</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Lambda layers, local bundling, SAM build</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Standard AWS pattern; ensures Lambda-runtime compatibility</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Output format</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Colored Excel in place</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New PDF report, web dashboard</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Preserves existing rep workflow; one Excel in, one Excel out</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HITL review</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waitForTaskToken pattern</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Polling, scheduled retries</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Unlimited wait, zero compute cost during pause, full audit trail</w:t>
            </w:r>
          </w:p>
        </w:tc>
      </w:tr>
      <w:tr>
        <w:tc>
          <w:tcPr>
            <w:tcW w:type="dxa" w:w="2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Feedback mechanism</w:t>
            </w:r>
          </w:p>
        </w:tc>
        <w:tc>
          <w:tcPr>
            <w:tcW w:type="dxa" w:w="18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SME approval with provenance</w:t>
            </w:r>
          </w:p>
        </w:tc>
        <w:tc>
          <w:tcPr>
            <w:tcW w:type="dxa" w:w="24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Approval flag only</w:t>
            </w:r>
          </w:p>
        </w:tc>
        <w:tc>
          <w:tcPr>
            <w:tcW w:type="dxa" w:w="31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Shelf life tied to corroborating source enables self-cleaning library</w:t>
            </w:r>
          </w:p>
        </w:tc>
      </w:tr>
    </w:tbl>
    <w:p>
      <w:pPr>
        <w:pStyle w:val="Heading1"/>
        <w:spacing w:after="200" w:before="400"/>
      </w:pPr>
      <w:r>
        <w:rPr>
          <w:b/>
          <w:bCs/>
          <w:color w:val="1F4E79"/>
          <w:sz w:val="36"/>
          <w:szCs w:val="36"/>
        </w:rPr>
        <w:t xml:space="preserve">12. Trade-offs Catalog</w:t>
      </w:r>
    </w:p>
    <w:p>
      <w:pPr>
        <w:spacing w:after="160"/>
        <w:jc w:val="both"/>
      </w:pPr>
      <w:r>
        <w:t xml:space="preserve">For the demo-tier architecture specifically, these are the explicit trade-offs the reviewer should expect to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Choice</w:t>
            </w:r>
          </w:p>
        </w:tc>
        <w:tc>
          <w:tcPr>
            <w:tcW w:type="dxa" w:w="6360"/>
            <w:tcBorders>
              <w:top w:val="single" w:color="BFBFBF" w:sz="6"/>
              <w:left w:val="single" w:color="BFBFBF" w:sz="6"/>
              <w:bottom w:val="single" w:color="BFBFBF" w:sz="6"/>
              <w:right w:val="single" w:color="BFBFBF" w:sz="6"/>
            </w:tcBorders>
            <w:shd w:fill="DEEBF7" w:val="clear"/>
            <w:tcMar>
              <w:top w:type="dxa" w:w="100"/>
              <w:left w:type="dxa" w:w="160"/>
              <w:bottom w:type="dxa" w:w="100"/>
              <w:right w:type="dxa" w:w="160"/>
            </w:tcMar>
          </w:tcPr>
          <w:p>
            <w:r>
              <w:rPr>
                <w:b/>
                <w:bCs/>
              </w:rPr>
              <w:t xml:space="preserve">Trade-off accepted</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Hardcoded dispatch table in Python</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YAML config is the production-correct pattern; documented as scale-up</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No Kendra in demo</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Miss native connector breadth and ACL inheritance; noted as scale-up trigger</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No Neptune in demo</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Graph-query story deferred; all four named queries collapse to DynamoDB GSIs at demo scale</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Step Functions Standard not Express</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Higher per-execution cost; acceptable because Standard is needed for waitForTaskToken</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Map state not Distributed Map</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Won't handle 500-question RFPs; scale-up to Distributed Map documented</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Freshness suppression without LLM cross-check</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May over-suppress legitimate stable answers; SME feedback corrects the false positives</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Composite confidence not LLM self-report</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Requires offline weight calibration against labeled data</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Hard rules as Python regex + config</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May miss novel risky phrasings; Bedrock Guardrails is the second layer</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One Excel in, one Excel out</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Misses the interactive chat surface; Q Business is the production addition</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No VPC in demo</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Loses defense-in-depth story; production hardening</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Bedrock over OpenAI</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Narrower model catalog; tradeable for AWS-native audit path</w:t>
            </w:r>
          </w:p>
        </w:tc>
      </w:tr>
      <w:tr>
        <w:tc>
          <w:tcPr>
            <w:tcW w:type="dxa" w:w="300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Destroy-between-demos pattern</w:t>
            </w:r>
          </w:p>
        </w:tc>
        <w:tc>
          <w:tcPr>
            <w:tcW w:type="dxa" w:w="6360"/>
            <w:tcBorders>
              <w:top w:val="single" w:color="BFBFBF" w:sz="6"/>
              <w:left w:val="single" w:color="BFBFBF" w:sz="6"/>
              <w:bottom w:val="single" w:color="BFBFBF" w:sz="6"/>
              <w:right w:val="single" w:color="BFBFBF" w:sz="6"/>
            </w:tcBorders>
            <w:tcMar>
              <w:top w:type="dxa" w:w="100"/>
              <w:left w:type="dxa" w:w="160"/>
              <w:bottom w:type="dxa" w:w="100"/>
              <w:right w:type="dxa" w:w="160"/>
            </w:tcMar>
          </w:tcPr>
          <w:p>
            <w:r>
              <w:t xml:space="preserve">Fifteen-minute cold-start if interview runs long; scripts cover it</w:t>
            </w:r>
          </w:p>
        </w:tc>
      </w:tr>
    </w:tbl>
    <w:p>
      <w:pPr>
        <w:pStyle w:val="Heading1"/>
        <w:spacing w:after="200" w:before="400"/>
      </w:pPr>
      <w:r>
        <w:rPr>
          <w:b/>
          <w:bCs/>
          <w:color w:val="1F4E79"/>
          <w:sz w:val="36"/>
          <w:szCs w:val="36"/>
        </w:rPr>
        <w:t xml:space="preserve">13. Interview Q&amp;A Preparation</w:t>
      </w:r>
    </w:p>
    <w:p>
      <w:pPr>
        <w:spacing w:after="160"/>
        <w:jc w:val="both"/>
      </w:pPr>
      <w:r>
        <w:t xml:space="preserve">Likely questions from an AI architect interviewer at a Glean shop, with rehearsed answers. Each is framed for the specific audience.</w:t>
      </w:r>
    </w:p>
    <w:p>
      <w:pPr>
        <w:pStyle w:val="Heading2"/>
        <w:spacing w:after="160" w:before="320"/>
      </w:pPr>
      <w:r>
        <w:rPr>
          <w:b/>
          <w:bCs/>
          <w:color w:val="1F4E79"/>
          <w:sz w:val="28"/>
          <w:szCs w:val="28"/>
        </w:rPr>
        <w:t xml:space="preserve">13.1 Why not Bedrock Agents or AgentCore?</w:t>
      </w:r>
    </w:p>
    <w:p>
      <w:pPr>
        <w:pBdr>
          <w:left w:val="single" w:color="1F4E79" w:sz="24" w:space="12"/>
        </w:pBdr>
        <w:spacing w:after="160" w:before="160"/>
        <w:ind w:left="720" w:right="720"/>
      </w:pPr>
      <w:r>
        <w:rPr>
          <w:i/>
          <w:iCs/>
          <w:color w:val="595959"/>
        </w:rPr>
        <w:t xml:space="preserve">This workflow is legal-adjacent, audit-sensitive, and latency-bounded. The orchestration is deterministic by design: Step Functions owns sequencing, Lambdas own stages, and the LLM is called at fixed points inside a bounded envelope. That gets me replayable audit, predictable cost, and governance that doesn't depend on the model remembering a policy. AgentCore becomes the right call when retrieval is iterative or generation is self-critical — for a batch workflow with fixed stages and hard legal constraints, direct InvokeModel inside Step Functions is the cheaper, more auditable, more debuggable choice.</w:t>
      </w:r>
    </w:p>
    <w:p>
      <w:pPr>
        <w:pStyle w:val="Heading2"/>
        <w:spacing w:after="160" w:before="320"/>
      </w:pPr>
      <w:r>
        <w:rPr>
          <w:b/>
          <w:bCs/>
          <w:color w:val="1F4E79"/>
          <w:sz w:val="28"/>
          <w:szCs w:val="28"/>
        </w:rPr>
        <w:t xml:space="preserve">13.2 How do you prevent hallucination?</w:t>
      </w:r>
    </w:p>
    <w:p>
      <w:pPr>
        <w:pBdr>
          <w:left w:val="single" w:color="1F4E79" w:sz="24" w:space="12"/>
        </w:pBdr>
        <w:spacing w:after="160" w:before="160"/>
        <w:ind w:left="720" w:right="720"/>
      </w:pPr>
      <w:r>
        <w:rPr>
          <w:i/>
          <w:iCs/>
          <w:color w:val="595959"/>
        </w:rPr>
        <w:t xml:space="preserve">Four layers. Retrieval-grounded generation — every answer must cite at least one retrieved passage, and coverage feeds the confidence score. Bedrock Guardrails with a denied-topics list filter input and output. Post-generation hard rules override the model — pricing is forced red regardless of what the model produced. And the composite confidence penalizes single-source answers. LLM self-reported confidence is never trusted — it's empirically miscalibrated, especially on the confident-but-wrong failure mode.</w:t>
      </w:r>
    </w:p>
    <w:p>
      <w:pPr>
        <w:pStyle w:val="Heading2"/>
        <w:spacing w:after="160" w:before="320"/>
      </w:pPr>
      <w:r>
        <w:rPr>
          <w:b/>
          <w:bCs/>
          <w:color w:val="1F4E79"/>
          <w:sz w:val="28"/>
          <w:szCs w:val="28"/>
        </w:rPr>
        <w:t xml:space="preserve">13.3 How do you handle stale content in the answer library?</w:t>
      </w:r>
    </w:p>
    <w:p>
      <w:pPr>
        <w:pBdr>
          <w:left w:val="single" w:color="1F4E79" w:sz="24" w:space="12"/>
        </w:pBdr>
        <w:spacing w:after="160" w:before="160"/>
        <w:ind w:left="720" w:right="720"/>
      </w:pPr>
      <w:r>
        <w:rPr>
          <w:i/>
          <w:iCs/>
          <w:color w:val="595959"/>
        </w:rPr>
        <w:t xml:space="preserve">Prior RFPs are a phrasing reference, not a factual authority. For each question topic I route to a tiered source set: a Primary source of truth, a Secondary phrasing layer, and Tertiary context. Freshness suppression drops prior answers whose approved_at predates their corroborating Primary source's updated_at. Answers without a Primary corroboration are capped at amber — we won't ship green without a live authoritative source agreeing. The approval record includes corroboration provenance, and a daily staleness job re-checks that provenance against Primary-source updates. The composite confidence score and SME feedback loop are unchanged — this all happens in the retrieval and tier-gating layers.</w:t>
      </w:r>
    </w:p>
    <w:p>
      <w:pPr>
        <w:pStyle w:val="Heading2"/>
        <w:spacing w:after="160" w:before="320"/>
      </w:pPr>
      <w:r>
        <w:rPr>
          <w:b/>
          <w:bCs/>
          <w:color w:val="1F4E79"/>
          <w:sz w:val="28"/>
          <w:szCs w:val="28"/>
        </w:rPr>
        <w:t xml:space="preserve">13.4 How does this compare to Glean?</w:t>
      </w:r>
    </w:p>
    <w:p>
      <w:pPr>
        <w:pBdr>
          <w:left w:val="single" w:color="1F4E79" w:sz="24" w:space="12"/>
        </w:pBdr>
        <w:spacing w:after="160" w:before="160"/>
        <w:ind w:left="720" w:right="720"/>
      </w:pPr>
      <w:r>
        <w:rPr>
          <w:i/>
          <w:iCs/>
          <w:color w:val="595959"/>
        </w:rPr>
        <w:t xml:space="preserve">Glean's value is unified search plus knowledge graph plus chat plus enterprise connectors plus permissions-aware retrieval. AWS's native answer is Amazon Q Business for the chat and search surface, Kendra for the retrieval primitive underneath, and Bedrock for the generation. Q Business is documented as the production scale-up for interactive rep-facing triage — the demo tier focuses on the batch RFP redlining workflow specifically, which Glean doesn't solve out of the box and where the differentiating logic lives: composite confidence, hard rules, source authority, and Excel I/O.</w:t>
      </w:r>
    </w:p>
    <w:p>
      <w:pPr>
        <w:pStyle w:val="Heading2"/>
        <w:spacing w:after="160" w:before="320"/>
      </w:pPr>
      <w:r>
        <w:rPr>
          <w:b/>
          <w:bCs/>
          <w:color w:val="1F4E79"/>
          <w:sz w:val="28"/>
          <w:szCs w:val="28"/>
        </w:rPr>
        <w:t xml:space="preserve">13.5 Build versus buy — Loopio, Responsive, Arphie?</w:t>
      </w:r>
    </w:p>
    <w:p>
      <w:pPr>
        <w:pBdr>
          <w:left w:val="single" w:color="1F4E79" w:sz="24" w:space="12"/>
        </w:pBdr>
        <w:spacing w:after="160" w:before="160"/>
        <w:ind w:left="720" w:right="720"/>
      </w:pPr>
      <w:r>
        <w:rPr>
          <w:i/>
          <w:iCs/>
          <w:color w:val="595959"/>
        </w:rPr>
        <w:t xml:space="preserve">Segment-dependent. Buy wins at mid-market — Loopio and Responsive have pre-built connectors, fast time-to-value, and license costs in the $100-300k per year range that beat build for under fifty RFPs per month. Build wins at enterprise with proprietary data residency, bespoke governance requirements, or model flexibility — all common at one-billion-dollar-plus revenue. The interesting architectural win for build is that every incumbent RFP tool ships with the stale-content failure mode unsolved; our source authority discipline addresses it directly.</w:t>
      </w:r>
    </w:p>
    <w:p>
      <w:pPr>
        <w:pStyle w:val="Heading2"/>
        <w:spacing w:after="160" w:before="320"/>
      </w:pPr>
      <w:r>
        <w:rPr>
          <w:b/>
          <w:bCs/>
          <w:color w:val="1F4E79"/>
          <w:sz w:val="28"/>
          <w:szCs w:val="28"/>
        </w:rPr>
        <w:t xml:space="preserve">13.6 What is agentic about this architecture?</w:t>
      </w:r>
    </w:p>
    <w:p>
      <w:pPr>
        <w:pBdr>
          <w:left w:val="single" w:color="1F4E79" w:sz="24" w:space="12"/>
        </w:pBdr>
        <w:spacing w:after="160" w:before="160"/>
        <w:ind w:left="720" w:right="720"/>
      </w:pPr>
      <w:r>
        <w:rPr>
          <w:i/>
          <w:iCs/>
          <w:color w:val="595959"/>
        </w:rPr>
        <w:t xml:space="preserve">In the strong sense — autonomous tool dispatch, iterative planning, multi-agent coordination — this is not agentic. In the weak sense, four components involve LLMs making decisions: Haiku classifies Excel cells, Haiku decomposes compound questions, Sonnet self-flags risky output categories, and the generator adapts output to retrieved evidence. The orchestration around those calls is deterministic by deliberate choice. Genuine agentic patterns — iterative retrieval loops, critique-and-revise generation, agentic SME routing — are deferred to v2 where the scaling constraints justify them.</w:t>
      </w:r>
    </w:p>
    <w:p>
      <w:pPr>
        <w:pStyle w:val="Heading2"/>
        <w:spacing w:after="160" w:before="320"/>
      </w:pPr>
      <w:r>
        <w:rPr>
          <w:b/>
          <w:bCs/>
          <w:color w:val="1F4E79"/>
          <w:sz w:val="28"/>
          <w:szCs w:val="28"/>
        </w:rPr>
        <w:t xml:space="preserve">13.7 How does this scale?</w:t>
      </w:r>
    </w:p>
    <w:p>
      <w:pPr>
        <w:pBdr>
          <w:left w:val="single" w:color="1F4E79" w:sz="24" w:space="12"/>
        </w:pBdr>
        <w:spacing w:after="160" w:before="160"/>
        <w:ind w:left="720" w:right="720"/>
      </w:pPr>
      <w:r>
        <w:rPr>
          <w:i/>
          <w:iCs/>
          <w:color w:val="595959"/>
        </w:rPr>
        <w:t xml:space="preserve">Four dimensions, each with an additive scale-up. Source count exceeds ten: replace mock APIs and direct S3 queries with Amazon Kendra plus native connectors. Multi-hop graph queries emerge: promote DynamoDB to Neptune Serverless. Question volume exceeds five hundred per RFP at twenty-five-way parallelism: upgrade Map to Distributed Map. Interactive chat becomes required: add Q Business pointing at the same Kendra index. The demo architecture is designed so each swap is a Lambda or service replacement, not a rewrite.</w:t>
      </w:r>
    </w:p>
    <w:p>
      <w:pPr>
        <w:pStyle w:val="Heading2"/>
        <w:spacing w:after="160" w:before="320"/>
      </w:pPr>
      <w:r>
        <w:rPr>
          <w:b/>
          <w:bCs/>
          <w:color w:val="1F4E79"/>
          <w:sz w:val="28"/>
          <w:szCs w:val="28"/>
        </w:rPr>
        <w:t xml:space="preserve">13.8 What's the cost profile?</w:t>
      </w:r>
    </w:p>
    <w:p>
      <w:pPr>
        <w:pBdr>
          <w:left w:val="single" w:color="1F4E79" w:sz="24" w:space="12"/>
        </w:pBdr>
        <w:spacing w:after="160" w:before="160"/>
        <w:ind w:left="720" w:right="720"/>
      </w:pPr>
      <w:r>
        <w:rPr>
          <w:i/>
          <w:iCs/>
          <w:color w:val="595959"/>
        </w:rPr>
        <w:t xml:space="preserve">Demo tier: approximately three dollars per one-hour demo when deployed on-demand, approximately $120 per month running twenty-four by seven. Production tier with Kendra plus Neptune plus VPC endpoints runs approximately $1,250 per month fixed before variable Bedrock token spend. The variable cost is Bedrock tokens, roughly one dollar per thirty-question RFP with prompt caching. The pattern I recommend is ephemeral deployment between demos — destroy and redeploy on schedule — which reduces idle cost to approximately zero.</w:t>
      </w:r>
    </w:p>
    <w:p>
      <w:pPr>
        <w:pStyle w:val="Heading1"/>
        <w:spacing w:after="200" w:before="400"/>
      </w:pPr>
      <w:r>
        <w:rPr>
          <w:b/>
          <w:bCs/>
          <w:color w:val="1F4E79"/>
          <w:sz w:val="36"/>
          <w:szCs w:val="36"/>
        </w:rPr>
        <w:t xml:space="preserve">14. Operating Principles</w:t>
      </w:r>
    </w:p>
    <w:p>
      <w:pPr>
        <w:spacing w:after="160"/>
        <w:jc w:val="both"/>
      </w:pPr>
      <w:r>
        <w:t xml:space="preserve">The project adopted Andrej Karpathy's behavioral guidelines for LLM coding as its operating contract. These principles shaped both the human-AI collaboration and the final architecture.</w:t>
      </w:r>
    </w:p>
    <w:p>
      <w:pPr>
        <w:pStyle w:val="Heading3"/>
        <w:spacing w:after="120" w:before="240"/>
      </w:pPr>
      <w:r>
        <w:rPr>
          <w:b/>
          <w:bCs/>
          <w:color w:val="595959"/>
          <w:sz w:val="24"/>
          <w:szCs w:val="24"/>
        </w:rPr>
        <w:t xml:space="preserve">Think Before Coding</w:t>
      </w:r>
    </w:p>
    <w:p>
      <w:pPr>
        <w:spacing w:after="160"/>
        <w:jc w:val="both"/>
      </w:pPr>
      <w:r>
        <w:t xml:space="preserve">State assumptions explicitly. If uncertain, ask. If multiple interpretations exist, present them rather than picking silently. If a simpler approach exists, say so. Applied to architecture: every major decision in this document has a stated rationale and a documented alternative.</w:t>
      </w:r>
    </w:p>
    <w:p>
      <w:pPr>
        <w:pStyle w:val="Heading3"/>
        <w:spacing w:after="120" w:before="240"/>
      </w:pPr>
      <w:r>
        <w:rPr>
          <w:b/>
          <w:bCs/>
          <w:color w:val="595959"/>
          <w:sz w:val="24"/>
          <w:szCs w:val="24"/>
        </w:rPr>
        <w:t xml:space="preserve">Simplicity First</w:t>
      </w:r>
    </w:p>
    <w:p>
      <w:pPr>
        <w:spacing w:after="160"/>
        <w:jc w:val="both"/>
      </w:pPr>
      <w:r>
        <w:t xml:space="preserve">Minimum code that solves the problem, nothing speculative. No features beyond what was asked, no abstractions for single-use code, no flexibility that wasn't requested. Applied to architecture: the v0.5 consolidation directly reflects this — every service removed from v0.4 was removed because it was speculative at demo scale.</w:t>
      </w:r>
    </w:p>
    <w:p>
      <w:pPr>
        <w:pStyle w:val="Heading3"/>
        <w:spacing w:after="120" w:before="240"/>
      </w:pPr>
      <w:r>
        <w:rPr>
          <w:b/>
          <w:bCs/>
          <w:color w:val="595959"/>
          <w:sz w:val="24"/>
          <w:szCs w:val="24"/>
        </w:rPr>
        <w:t xml:space="preserve">Surgical Changes</w:t>
      </w:r>
    </w:p>
    <w:p>
      <w:pPr>
        <w:spacing w:after="160"/>
        <w:jc w:val="both"/>
      </w:pPr>
      <w:r>
        <w:t xml:space="preserve">Touch only what you must. Preserve existing style. Don't refactor things that aren't broken. Applied to the codebase: the composite confidence scorer, hard-rules engine, Excel parser, and Excel writer have not been modified since v0.4 because they work and the tests lock the behavior.</w:t>
      </w:r>
    </w:p>
    <w:p>
      <w:pPr>
        <w:pStyle w:val="Heading3"/>
        <w:spacing w:after="120" w:before="240"/>
      </w:pPr>
      <w:r>
        <w:rPr>
          <w:b/>
          <w:bCs/>
          <w:color w:val="595959"/>
          <w:sz w:val="24"/>
          <w:szCs w:val="24"/>
        </w:rPr>
        <w:t xml:space="preserve">Goal-Driven Execution</w:t>
      </w:r>
    </w:p>
    <w:p>
      <w:pPr>
        <w:spacing w:after="160"/>
        <w:jc w:val="both"/>
      </w:pPr>
      <w:r>
        <w:t xml:space="preserve">Define success criteria. Loop until verified. Transform tasks into verifiable goals. Applied to iteration: each phase had a clear deliverable (working smoke test, passing unit tests, consolidated architecture document) before moving on.</w:t>
      </w:r>
    </w:p>
    <w:p>
      <w:pPr>
        <w:pStyle w:val="Heading1"/>
        <w:spacing w:after="200" w:before="400"/>
      </w:pPr>
      <w:r>
        <w:rPr>
          <w:b/>
          <w:bCs/>
          <w:color w:val="1F4E79"/>
          <w:sz w:val="36"/>
          <w:szCs w:val="36"/>
        </w:rPr>
        <w:t xml:space="preserve">15. What I Would Do Differently</w:t>
      </w:r>
    </w:p>
    <w:p>
      <w:pPr>
        <w:spacing w:after="160"/>
        <w:jc w:val="both"/>
      </w:pPr>
      <w:r>
        <w:t xml:space="preserve">Honest retrospective. The project reached a defensible end state, but several moves could have been compressed or avoided.</w:t>
      </w:r>
    </w:p>
    <w:p>
      <w:pPr>
        <w:spacing w:after="160"/>
        <w:jc w:val="both"/>
      </w:pPr>
      <w:r>
        <w:rPr>
          <w:b/>
          <w:bCs/>
        </w:rPr>
        <w:t xml:space="preserve">Commit to a demo tier from day one. </w:t>
      </w:r>
      <w:r>
        <w:t xml:space="preserve">The full production-scale v0.4 architecture consumed significant effort that was then simplified away in v0.5. Starting with the question 'what is the minimum viable architecture that tells the full story?' would have compressed the timeline substantially.</w:t>
      </w:r>
    </w:p>
    <w:p>
      <w:pPr>
        <w:spacing w:after="160"/>
        <w:jc w:val="both"/>
      </w:pPr>
      <w:r>
        <w:rPr>
          <w:b/>
          <w:bCs/>
        </w:rPr>
        <w:t xml:space="preserve">Validate cost envelope before building. </w:t>
      </w:r>
      <w:r>
        <w:t xml:space="preserve">The $1,250-per-month fixed cost was predictable from a cost calculator exercise that could have been done before writing any CDK. That would have surfaced the ephemeral-deployment pattern earlier.</w:t>
      </w:r>
    </w:p>
    <w:p>
      <w:pPr>
        <w:spacing w:after="160"/>
        <w:jc w:val="both"/>
      </w:pPr>
      <w:r>
        <w:rPr>
          <w:b/>
          <w:bCs/>
        </w:rPr>
        <w:t xml:space="preserve">Lead with the differentiating logic, not the infrastructure. </w:t>
      </w:r>
      <w:r>
        <w:t xml:space="preserve">The architectural value lives in composite confidence, hard rules, source authority, and the flywheel. These are the portable, memorable, reusable parts. Infrastructure is replaceable; governance primitives are not. Future projects should lead with the primitives and let infrastructure choices follow.</w:t>
      </w:r>
    </w:p>
    <w:p>
      <w:pPr>
        <w:spacing w:after="160"/>
        <w:jc w:val="both"/>
      </w:pPr>
      <w:r>
        <w:rPr>
          <w:b/>
          <w:bCs/>
        </w:rPr>
        <w:t xml:space="preserve">Surface the stale-content failure mode earlier. </w:t>
      </w:r>
      <w:r>
        <w:t xml:space="preserve">The source-authority discipline is the single most differentiating idea in the final architecture and the answer to the most likely interview challenge. It surfaced in the last major iteration rather than the first. A more systematic failure-mode analysis up front would have put it on the table sooner.</w:t>
      </w:r>
    </w:p>
    <w:p>
      <w:pPr>
        <w:spacing w:after="160"/>
        <w:jc w:val="both"/>
      </w:pPr>
      <w:r>
        <w:rPr>
          <w:b/>
          <w:bCs/>
        </w:rPr>
        <w:t xml:space="preserve">Keep the CHRO and business-user critique going from day one. </w:t>
      </w:r>
      <w:r>
        <w:t xml:space="preserve">The multi-hat perspective (architect, CHRO, business user, digital transformation consultant) consistently improved the architecture. The discipline of rotating hats should be applied per-iteration, not only at major milestones.</w:t>
      </w:r>
    </w:p>
    <w:p>
      <w:pPr>
        <w:pStyle w:val="Heading1"/>
        <w:spacing w:after="200" w:before="400"/>
      </w:pPr>
      <w:r>
        <w:rPr>
          <w:b/>
          <w:bCs/>
          <w:color w:val="1F4E79"/>
          <w:sz w:val="36"/>
          <w:szCs w:val="36"/>
        </w:rPr>
        <w:t xml:space="preserve">16. Appendix — Architecture at a Glance</w:t>
      </w:r>
    </w:p>
    <w:p>
      <w:pPr>
        <w:pStyle w:val="Heading2"/>
        <w:spacing w:after="160" w:before="320"/>
      </w:pPr>
      <w:r>
        <w:rPr>
          <w:b/>
          <w:bCs/>
          <w:color w:val="1F4E79"/>
          <w:sz w:val="28"/>
          <w:szCs w:val="28"/>
        </w:rPr>
        <w:t xml:space="preserve">16.1 End-to-end pipeline</w:t>
      </w:r>
    </w:p>
    <w:p>
      <w:pPr>
        <w:spacing w:after="160"/>
        <w:jc w:val="both"/>
      </w:pPr>
      <w:r>
        <w:t xml:space="preserve">Incoming RFP Excel uploads to S3 via a pre-signed URL from API Gateway, authenticated by Cognito. S3 upload fires an EventBridge rule that kicks off a Step Functions Standard workflow. The workflow's first stage is the parser Lambda, which uses openpyxl to walk every cell on every sheet, classifies them (question, section header, instruction, metadata), and writes a normalized question list to DynamoDB.</w:t>
      </w:r>
    </w:p>
    <w:p>
      <w:pPr>
        <w:spacing w:after="160"/>
        <w:jc w:val="both"/>
      </w:pPr>
      <w:r>
        <w:t xml:space="preserve">The workflow enters a Map state with concurrency ten. For each question, four Lambdas run in sequence: the classifier outputs topic labels and the dispatch plan; the retriever queries the relevant sources in parallel, applies freshness suppression for stale priors, and returns the filtered retrieval envelope; the generator calls Claude Sonnet 4.6 on Bedrock with prompt caching on the stable system prefix and Bedrock Guardrails on every invocation; the scorer computes the composite confidence and applies the hard-rules engine.</w:t>
      </w:r>
    </w:p>
    <w:p>
      <w:pPr>
        <w:spacing w:after="160"/>
        <w:jc w:val="both"/>
      </w:pPr>
      <w:r>
        <w:t xml:space="preserve">After the Map completes, the writer Lambda downloads the original Excel, injects each answer into its cell with the appropriate green/amber/red fill color, attaches a cell comment with the confidence breakdown and citations, appends a Summary sheet, and uploads the result to the output S3 bucket. SES sends the rep a pre-signed download link. Amber and red questions enter a review queue where SMEs approve or edit via a React WebSocket-backed UI; approvals feed back into the library with corroboration provenance.</w:t>
      </w:r>
    </w:p>
    <w:p>
      <w:pPr>
        <w:pStyle w:val="Heading2"/>
        <w:spacing w:after="160" w:before="320"/>
      </w:pPr>
      <w:r>
        <w:rPr>
          <w:b/>
          <w:bCs/>
          <w:color w:val="1F4E79"/>
          <w:sz w:val="28"/>
          <w:szCs w:val="28"/>
        </w:rPr>
        <w:t xml:space="preserve">16.2 Live companion documentation</w:t>
      </w:r>
    </w:p>
    <w:p>
      <w:pPr>
        <w:spacing w:after="160"/>
        <w:jc w:val="both"/>
      </w:pPr>
      <w:r>
        <w:t xml:space="preserve">Full architecture, diagrams, and trade-offs live in the project repository:</w:t>
      </w:r>
    </w:p>
    <w:p>
      <w:pPr>
        <w:pStyle w:val="ListParagraph"/>
        <w:numPr>
          <w:ilvl w:val="0"/>
          <w:numId w:val="2"/>
        </w:numPr>
        <w:spacing w:after="80"/>
      </w:pPr>
      <w:r>
        <w:t xml:space="preserve">rfp-copilot/docs/architecture.md — v0.5 consolidated architecture with Mermaid diagrams</w:t>
      </w:r>
    </w:p>
    <w:p>
      <w:pPr>
        <w:pStyle w:val="ListParagraph"/>
        <w:numPr>
          <w:ilvl w:val="0"/>
          <w:numId w:val="2"/>
        </w:numPr>
        <w:spacing w:after="80"/>
      </w:pPr>
      <w:r>
        <w:t xml:space="preserve">rfp-copilot/docs/technical-faqs.md — forty-seven Q&amp;A items for technical demo defense</w:t>
      </w:r>
    </w:p>
    <w:p>
      <w:pPr>
        <w:pStyle w:val="ListParagraph"/>
        <w:numPr>
          <w:ilvl w:val="0"/>
          <w:numId w:val="2"/>
        </w:numPr>
        <w:spacing w:after="80"/>
      </w:pPr>
      <w:r>
        <w:t xml:space="preserve">rfp-copilot/CLAUDE.md — handoff contract for Claude Code implementation</w:t>
      </w:r>
    </w:p>
    <w:p>
      <w:pPr>
        <w:pStyle w:val="ListParagraph"/>
        <w:numPr>
          <w:ilvl w:val="0"/>
          <w:numId w:val="2"/>
        </w:numPr>
        <w:spacing w:after="80"/>
      </w:pPr>
      <w:r>
        <w:t xml:space="preserve">rfp-copilot/docs/archive/ — v0.4 production-scale architecture, archived as the scale-up path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RFP Redlining Copilot — Architectural Evolution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Redlining Copilot — Architectural Evolution</dc:title>
  <dc:creator>H</dc:creator>
  <dc:description>Study document for AI Architect interview preparation</dc:description>
  <cp:lastModifiedBy>Un-named</cp:lastModifiedBy>
  <cp:revision>1</cp:revision>
  <dcterms:created xsi:type="dcterms:W3CDTF">2026-04-15T23:34:34.738Z</dcterms:created>
  <dcterms:modified xsi:type="dcterms:W3CDTF">2026-04-15T23:34:34.738Z</dcterms:modified>
</cp:coreProperties>
</file>

<file path=docProps/custom.xml><?xml version="1.0" encoding="utf-8"?>
<Properties xmlns="http://schemas.openxmlformats.org/officeDocument/2006/custom-properties" xmlns:vt="http://schemas.openxmlformats.org/officeDocument/2006/docPropsVTypes"/>
</file>