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color w:val="1F4E79"/>
          <w:sz w:val="56"/>
          <w:szCs w:val="56"/>
        </w:rPr>
        <w:t xml:space="preserve">RFP Redlining Copilot</w:t>
      </w:r>
    </w:p>
    <w:p>
      <w:pPr>
        <w:spacing w:after="200"/>
        <w:jc w:val="center"/>
      </w:pPr>
      <w:r>
        <w:rPr>
          <w:color w:val="595959"/>
          <w:sz w:val="36"/>
          <w:szCs w:val="36"/>
        </w:rPr>
        <w:t xml:space="preserve">Architecture Specification</w:t>
      </w:r>
    </w:p>
    <w:p>
      <w:pPr>
        <w:spacing w:after="1200"/>
        <w:jc w:val="center"/>
      </w:pPr>
      <w:r>
        <w:rPr>
          <w:i/>
          <w:iCs/>
          <w:color w:val="595959"/>
          <w:sz w:val="28"/>
          <w:szCs w:val="28"/>
        </w:rPr>
        <w:t xml:space="preserve">v0.5 — Demo Tier</w:t>
      </w:r>
    </w:p>
    <w:p>
      <w:pPr>
        <w:jc w:val="center"/>
      </w:pPr>
      <w:r>
        <w:rPr>
          <w:sz w:val="22"/>
          <w:szCs w:val="22"/>
        </w:rPr>
        <w:t xml:space="preserve">Owner: H</w:t>
      </w:r>
    </w:p>
    <w:p>
      <w:pPr>
        <w:jc w:val="center"/>
      </w:pPr>
      <w:r>
        <w:rPr>
          <w:sz w:val="22"/>
          <w:szCs w:val="22"/>
        </w:rPr>
        <w:t xml:space="preserve">Generated: April 2026</w:t>
      </w:r>
    </w:p>
    <w:p>
      <w:pPr>
        <w:spacing w:after="600"/>
        <w:jc w:val="center"/>
      </w:pPr>
      <w:r>
        <w:rPr>
          <w:sz w:val="22"/>
          <w:szCs w:val="22"/>
        </w:rPr>
        <w:t xml:space="preserve">Status: Design contract for Claude Code implementation</w:t>
      </w:r>
    </w:p>
    <w:p>
      <w:pPr>
        <w:spacing w:before="800"/>
        <w:jc w:val="center"/>
      </w:pPr>
      <w:r>
        <w:rPr>
          <w:i/>
          <w:iCs/>
          <w:color w:val="595959"/>
          <w:sz w:val="20"/>
          <w:szCs w:val="20"/>
        </w:rPr>
        <w:t xml:space="preserve">Companion documents:</w:t>
      </w:r>
    </w:p>
    <w:p>
      <w:pPr>
        <w:jc w:val="center"/>
      </w:pPr>
      <w:r>
        <w:rPr>
          <w:color w:val="595959"/>
          <w:sz w:val="18"/>
          <w:szCs w:val="18"/>
        </w:rPr>
        <w:t xml:space="preserve">docs/architecture.md (live Mermaid diagrams)</w:t>
      </w:r>
    </w:p>
    <w:p>
      <w:pPr>
        <w:jc w:val="center"/>
      </w:pPr>
      <w:r>
        <w:rPr>
          <w:color w:val="595959"/>
          <w:sz w:val="18"/>
          <w:szCs w:val="18"/>
        </w:rPr>
        <w:t xml:space="preserve">docs/technical-faqs.md (47 Q&amp;A for demo defense)</w:t>
      </w:r>
    </w:p>
    <w:p>
      <w:pPr>
        <w:jc w:val="center"/>
      </w:pPr>
      <w:r>
        <w:rPr>
          <w:color w:val="595959"/>
          <w:sz w:val="18"/>
          <w:szCs w:val="18"/>
        </w:rPr>
        <w:t xml:space="preserve">docs/study/architectural-evolution.docx (how we arrived here)</w:t>
      </w:r>
    </w:p>
    <w:p>
      <w:r>
        <w:br w:type="page"/>
      </w:r>
    </w:p>
    <w:p>
      <w:pPr>
        <w:pStyle w:val="Heading1"/>
        <w:spacing w:after="200" w:before="400"/>
      </w:pPr>
      <w:r>
        <w:rPr>
          <w:b/>
          <w:bCs/>
          <w:color w:val="1F4E79"/>
          <w:sz w:val="36"/>
          <w:szCs w:val="36"/>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b/>
          <w:bCs/>
          <w:color w:val="1F4E79"/>
          <w:sz w:val="36"/>
          <w:szCs w:val="36"/>
        </w:rPr>
        <w:t xml:space="preserve">1. Overview</w:t>
      </w:r>
    </w:p>
    <w:p>
      <w:pPr>
        <w:spacing w:after="160"/>
        <w:jc w:val="both"/>
      </w:pPr>
      <w:r>
        <w:rPr>
          <w:b/>
          <w:bCs/>
        </w:rPr>
        <w:t xml:space="preserve">One-line pitch: </w:t>
      </w:r>
      <w:r>
        <w:t xml:space="preserve">One RFP Excel in, one color-coded Excel out. Reps get a 70% first-draft in under five minutes; SMEs review only what the system flags as uncertain or stale; the answer library gets smarter every approval.</w:t>
      </w:r>
    </w:p>
    <w:p>
      <w:pPr>
        <w:spacing w:after="160"/>
        <w:jc w:val="both"/>
      </w:pPr>
      <w:r>
        <w:t xml:space="preserve">This specification describes the v0.5 demo-tier architecture — the target of the current Claude Code implementation effort. It intentionally omits several services that would appear in a production deployment (Amazon Kendra, Neptune, VPC + PrivateLink, Distributed Map, Q Business). Each of those is documented in §11 as part of the production scale-up path. The demo tier was designed so that each omitted component becomes an additive swap rather than a rewrite when the scale triggers justify it.</w:t>
      </w:r>
    </w:p>
    <w:p>
      <w:pPr>
        <w:spacing w:after="160"/>
        <w:jc w:val="both"/>
      </w:pPr>
      <w:r>
        <w:t xml:space="preserve">The value in this architecture sits not in service selection but in four governance primitives that differentiate it from a generic RAG chatbot: a composite confidence score grounded in measurable signals, an enterprise-legal hard-rules engine, source authority tiering with freshness-based stale-prior suppression, and a feedback loop whose approvals carry corroboration provenance for self-cleaning. These primitives are portable across underlying service choices.</w:t>
      </w:r>
    </w:p>
    <w:p>
      <w:pPr>
        <w:pStyle w:val="Heading1"/>
        <w:spacing w:after="200" w:before="400"/>
      </w:pPr>
      <w:r>
        <w:rPr>
          <w:b/>
          <w:bCs/>
          <w:color w:val="1F4E79"/>
          <w:sz w:val="36"/>
          <w:szCs w:val="36"/>
        </w:rPr>
        <w:t xml:space="preserve">2. For the Business Reader</w:t>
      </w:r>
    </w:p>
    <w:p>
      <w:pPr>
        <w:spacing w:after="160"/>
        <w:jc w:val="both"/>
      </w:pPr>
      <w:r>
        <w:t xml:space="preserve">Before the technical detail, the executive-level answers. Every question in this table is one a business stakeholder will ask in the first ten minutes of any conversation about this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6"/>
              <w:left w:val="single" w:color="BFBFBF" w:sz="6"/>
              <w:bottom w:val="single" w:color="BFBFBF" w:sz="6"/>
              <w:right w:val="single" w:color="BFBFBF" w:sz="6"/>
            </w:tcBorders>
            <w:shd w:fill="DEEBF7" w:val="clear"/>
            <w:tcMar>
              <w:top w:type="dxa" w:w="100"/>
              <w:left w:type="dxa" w:w="160"/>
              <w:bottom w:type="dxa" w:w="100"/>
              <w:right w:type="dxa" w:w="160"/>
            </w:tcMar>
          </w:tcPr>
          <w:p>
            <w:r>
              <w:rPr>
                <w:b/>
                <w:bCs/>
              </w:rPr>
              <w:t xml:space="preserve">Concern</w:t>
            </w:r>
          </w:p>
        </w:tc>
        <w:tc>
          <w:tcPr>
            <w:tcW w:type="dxa" w:w="6360"/>
            <w:tcBorders>
              <w:top w:val="single" w:color="BFBFBF" w:sz="6"/>
              <w:left w:val="single" w:color="BFBFBF" w:sz="6"/>
              <w:bottom w:val="single" w:color="BFBFBF" w:sz="6"/>
              <w:right w:val="single" w:color="BFBFBF" w:sz="6"/>
            </w:tcBorders>
            <w:shd w:fill="DEEBF7" w:val="clear"/>
            <w:tcMar>
              <w:top w:type="dxa" w:w="100"/>
              <w:left w:type="dxa" w:w="160"/>
              <w:bottom w:type="dxa" w:w="100"/>
              <w:right w:type="dxa" w:w="160"/>
            </w:tcMar>
          </w:tcPr>
          <w:p>
            <w:r>
              <w:rPr>
                <w:b/>
                <w:bCs/>
              </w:rPr>
              <w:t xml:space="preserve">Answer</w:t>
            </w:r>
          </w:p>
        </w:tc>
      </w:tr>
      <w:tr>
        <w:tc>
          <w:tcPr>
            <w:tcW w:type="dxa" w:w="3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Time per RFP</w:t>
            </w:r>
          </w:p>
        </w:tc>
        <w:tc>
          <w:tcPr>
            <w:tcW w:type="dxa" w:w="63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About 3 minutes end-to-end for a 30-question RFP; under 10 minutes for 100 questions</w:t>
            </w:r>
          </w:p>
        </w:tc>
      </w:tr>
      <w:tr>
        <w:tc>
          <w:tcPr>
            <w:tcW w:type="dxa" w:w="3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Cost per RFP</w:t>
            </w:r>
          </w:p>
        </w:tc>
        <w:tc>
          <w:tcPr>
            <w:tcW w:type="dxa" w:w="63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About $1 of Bedrock usage per run; approximately $3 total including fixed infra during the hour</w:t>
            </w:r>
          </w:p>
        </w:tc>
      </w:tr>
      <w:tr>
        <w:tc>
          <w:tcPr>
            <w:tcW w:type="dxa" w:w="3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First-draft quality target</w:t>
            </w:r>
          </w:p>
        </w:tc>
        <w:tc>
          <w:tcPr>
            <w:tcW w:type="dxa" w:w="63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40% green at launch, 70% green by month 6 as the flywheel learns</w:t>
            </w:r>
          </w:p>
        </w:tc>
      </w:tr>
      <w:tr>
        <w:tc>
          <w:tcPr>
            <w:tcW w:type="dxa" w:w="3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Reviewer bandwidth</w:t>
            </w:r>
          </w:p>
        </w:tc>
        <w:tc>
          <w:tcPr>
            <w:tcW w:type="dxa" w:w="63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Amber and red queue routes by topic domain — Pre-Sales handles technical, Compliance handles certifications, Deal Desk handles pricing</w:t>
            </w:r>
          </w:p>
        </w:tc>
      </w:tr>
      <w:tr>
        <w:tc>
          <w:tcPr>
            <w:tcW w:type="dxa" w:w="3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Library ownership</w:t>
            </w:r>
          </w:p>
        </w:tc>
        <w:tc>
          <w:tcPr>
            <w:tcW w:type="dxa" w:w="63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Product Marketing owns content, Sales Enablement distributes, Compliance reviews hard-rules config, Pre-Sales reviews amber</w:t>
            </w:r>
          </w:p>
        </w:tc>
      </w:tr>
      <w:tr>
        <w:tc>
          <w:tcPr>
            <w:tcW w:type="dxa" w:w="3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ROI measurement</w:t>
            </w:r>
          </w:p>
        </w:tc>
        <w:tc>
          <w:tcPr>
            <w:tcW w:type="dxa" w:w="63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Matched A/B — half of qualifying RFPs use the tool, half do not; track hours saved plus win rate over a quarter</w:t>
            </w:r>
          </w:p>
        </w:tc>
      </w:tr>
      <w:tr>
        <w:tc>
          <w:tcPr>
            <w:tcW w:type="dxa" w:w="3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Vendor lock-in</w:t>
            </w:r>
          </w:p>
        </w:tc>
        <w:tc>
          <w:tcPr>
            <w:tcW w:type="dxa" w:w="63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Application code (Python Lambdas, Pydantic models) is portable; managed services (Step Functions, Bedrock) are the explicit swap points</w:t>
            </w:r>
          </w:p>
        </w:tc>
      </w:tr>
      <w:tr>
        <w:tc>
          <w:tcPr>
            <w:tcW w:type="dxa" w:w="3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Build vs. buy</w:t>
            </w:r>
          </w:p>
        </w:tc>
        <w:tc>
          <w:tcPr>
            <w:tcW w:type="dxa" w:w="63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At mid-market scale, buy (Loopio, Responsive, Arphie). At enterprise with proprietary data residency, bespoke governance, or model flexibility — build wins.</w:t>
            </w:r>
          </w:p>
        </w:tc>
      </w:tr>
    </w:tbl>
    <w:p>
      <w:pPr>
        <w:pStyle w:val="Heading1"/>
        <w:spacing w:after="200" w:before="400"/>
      </w:pPr>
      <w:r>
        <w:rPr>
          <w:b/>
          <w:bCs/>
          <w:color w:val="1F4E79"/>
          <w:sz w:val="36"/>
          <w:szCs w:val="36"/>
        </w:rPr>
        <w:t xml:space="preserve">3. End-to-End Data Flow</w:t>
      </w:r>
    </w:p>
    <w:p>
      <w:pPr>
        <w:spacing w:after="160"/>
        <w:jc w:val="both"/>
      </w:pPr>
      <w:r>
        <w:t xml:space="preserve">The pipeline has six stages from upload to delivery. Each stage has a clear handoff and a durable state checkpoint so failures are recoverable and every decision is auditable.</w:t>
      </w:r>
    </w:p>
    <w:p>
      <w:pPr>
        <w:pStyle w:val="Heading3"/>
        <w:spacing w:after="120" w:before="240"/>
      </w:pPr>
      <w:r>
        <w:rPr>
          <w:b/>
          <w:bCs/>
          <w:color w:val="595959"/>
          <w:sz w:val="24"/>
          <w:szCs w:val="24"/>
        </w:rPr>
        <w:t xml:space="preserve">3.1 Ingestion</w:t>
      </w:r>
    </w:p>
    <w:p>
      <w:pPr>
        <w:spacing w:after="160"/>
        <w:jc w:val="both"/>
      </w:pPr>
      <w:r>
        <w:t xml:space="preserve">A sales rep authenticates through Cognito and requests a pre-signed URL from API Gateway. The browser uploads the RFP Excel directly to an S3 bucket with KMS encryption and Object Lock (incoming RFPs are NDA-protected against the prospect; they can never be deleted or tampered with). Macie continuously scans the bucket for accidentally-included PII. The S3 PUT event fires an EventBridge rule that starts a Step Functions Standard execution.</w:t>
      </w:r>
    </w:p>
    <w:p>
      <w:pPr>
        <w:pStyle w:val="Heading3"/>
        <w:spacing w:after="120" w:before="240"/>
      </w:pPr>
      <w:r>
        <w:rPr>
          <w:b/>
          <w:bCs/>
          <w:color w:val="595959"/>
          <w:sz w:val="24"/>
          <w:szCs w:val="24"/>
        </w:rPr>
        <w:t xml:space="preserve">3.2 Parse</w:t>
      </w:r>
    </w:p>
    <w:p>
      <w:pPr>
        <w:spacing w:after="160"/>
        <w:jc w:val="both"/>
      </w:pPr>
      <w:r>
        <w:t xml:space="preserve">The Excel Parser Lambda downloads the workbook with openpyxl, walks every cell on every sheet, and classifies each cell as a question, section header, instruction, or metadata. Merged cells are collapsed to their anchor coordinate. The parser writes a normalized question list to DynamoDB and returns both the manifest S3 key and the questions array inline. At demo scale the questions array fits comfortably within the Step Functions 256 KB state-payload limit, so no intermediate read step is required.</w:t>
      </w:r>
    </w:p>
    <w:p>
      <w:pPr>
        <w:pStyle w:val="Heading3"/>
        <w:spacing w:after="120" w:before="240"/>
      </w:pPr>
      <w:r>
        <w:rPr>
          <w:b/>
          <w:bCs/>
          <w:color w:val="595959"/>
          <w:sz w:val="24"/>
          <w:szCs w:val="24"/>
        </w:rPr>
        <w:t xml:space="preserve">3.3 Classify and plan dispatch</w:t>
      </w:r>
    </w:p>
    <w:p>
      <w:pPr>
        <w:spacing w:after="160"/>
        <w:jc w:val="both"/>
      </w:pPr>
      <w:r>
        <w:t xml:space="preserve">For each question, Claude Haiku 4.5 runs a classifier that emits a topic list plus a dispatch plan. The dispatch plan specifies the Primary, Secondary, and Tertiary sources relevant to that topic, plus any policy flags (corroboration required, force-tier directives). The plan is driven by a hardcoded dispatch table in the demo tier; the production path promotes it to a YAML config reviewed quarterly by Product Marketing, Compliance, and General Counsel.</w:t>
      </w:r>
    </w:p>
    <w:p>
      <w:pPr>
        <w:pStyle w:val="Heading3"/>
        <w:spacing w:after="120" w:before="240"/>
      </w:pPr>
      <w:r>
        <w:rPr>
          <w:b/>
          <w:bCs/>
          <w:color w:val="595959"/>
          <w:sz w:val="24"/>
          <w:szCs w:val="24"/>
        </w:rPr>
        <w:t xml:space="preserve">3.4 Retrieve with corroboration</w:t>
      </w:r>
    </w:p>
    <w:p>
      <w:pPr>
        <w:spacing w:after="160"/>
        <w:jc w:val="both"/>
      </w:pPr>
      <w:r>
        <w:t xml:space="preserve">The Retriever Lambda consumes the dispatch plan and calls only the relevant sources, in parallel via asyncio.gather. Before passing results to the generator, it applies the freshness-suppression rule: if a prior RFP's approved_at is older than a Primary source's updated_at, the prior is discarded. Other corroboration rules (Primary required, customer-name gating) either cap the tier or annotate the retrieval envelope with triggers for the hard-rules engine downstream.</w:t>
      </w:r>
    </w:p>
    <w:p>
      <w:pPr>
        <w:pStyle w:val="Heading3"/>
        <w:spacing w:after="120" w:before="240"/>
      </w:pPr>
      <w:r>
        <w:rPr>
          <w:b/>
          <w:bCs/>
          <w:color w:val="595959"/>
          <w:sz w:val="24"/>
          <w:szCs w:val="24"/>
        </w:rPr>
        <w:t xml:space="preserve">3.5 Generate</w:t>
      </w:r>
    </w:p>
    <w:p>
      <w:pPr>
        <w:spacing w:after="160"/>
        <w:jc w:val="both"/>
      </w:pPr>
      <w:r>
        <w:t xml:space="preserve">The Generator Lambda constructs a prompt with the stable prefix cached (brand voice, hard-rule reminders, answer-pattern library) and the variable portion containing retrieved passages, the best prior SME-approved answer, and the question itself. Claude Sonnet 4.6 on Bedrock produces a structured JSON answer with text, citations, invoked customer names, and self-flags. Bedrock Guardrails are applied to every invocation, filtering input and output for denied topics (pricing specifics, unqualified compliance claims, competitor disparagement, PII). The generator never trusts the model's self-reported confidence.</w:t>
      </w:r>
    </w:p>
    <w:p>
      <w:pPr>
        <w:pStyle w:val="Heading3"/>
        <w:spacing w:after="120" w:before="240"/>
      </w:pPr>
      <w:r>
        <w:rPr>
          <w:b/>
          <w:bCs/>
          <w:color w:val="595959"/>
          <w:sz w:val="24"/>
          <w:szCs w:val="24"/>
        </w:rPr>
        <w:t xml:space="preserve">3.6 Score and apply rules</w:t>
      </w:r>
    </w:p>
    <w:p>
      <w:pPr>
        <w:spacing w:after="160"/>
        <w:jc w:val="both"/>
      </w:pPr>
      <w:r>
        <w:t xml:space="preserve">The composite confidence score is computed per §6. The hard-rules engine then runs post-scoring per §7. It can only demote tiers, never promote. The final tier, confidence breakdown, citations, and hard-rule triggers are written back to DynamoDB for the writer.</w:t>
      </w:r>
    </w:p>
    <w:p>
      <w:pPr>
        <w:pStyle w:val="Heading3"/>
        <w:spacing w:after="120" w:before="240"/>
      </w:pPr>
      <w:r>
        <w:rPr>
          <w:b/>
          <w:bCs/>
          <w:color w:val="595959"/>
          <w:sz w:val="24"/>
          <w:szCs w:val="24"/>
        </w:rPr>
        <w:t xml:space="preserve">3.7 Write and notify</w:t>
      </w:r>
    </w:p>
    <w:p>
      <w:pPr>
        <w:spacing w:after="160"/>
        <w:jc w:val="both"/>
      </w:pPr>
      <w:r>
        <w:t xml:space="preserve">After all questions complete, the Excel Writer Lambda downloads the original workbook, injects each answer into its cell with the appropriate fill color (green, amber, or red), attaches a cell comment with the confidence breakdown and citations, and appends a Summary sheet. The output workbook is uploaded to the output S3 bucket and a pre-signed URL is emailed to the rep via SES.</w:t>
      </w:r>
    </w:p>
    <w:p>
      <w:pPr>
        <w:pStyle w:val="Heading3"/>
        <w:spacing w:after="120" w:before="240"/>
      </w:pPr>
      <w:r>
        <w:rPr>
          <w:b/>
          <w:bCs/>
          <w:color w:val="595959"/>
          <w:sz w:val="24"/>
          <w:szCs w:val="24"/>
        </w:rPr>
        <w:t xml:space="preserve">3.8 Review (for amber and red only)</w:t>
      </w:r>
    </w:p>
    <w:p>
      <w:pPr>
        <w:spacing w:after="160"/>
        <w:jc w:val="both"/>
      </w:pPr>
      <w:r>
        <w:t xml:space="preserve">Amber and red questions enter a review queue. Step Functions pauses on a waitForTaskToken with no time limit and zero compute cost. An SME opens a React WebSocket-backed review UI, sees the draft answers with evidence and rule triggers, and approves, edits, or rejects. Approvals fire a Lambda that writes the approved answer to the Library Feedback table with corroboration provenance (which Primary source(s) supported the approval, approval timestamp). The Kendra re-index and Neptune edge updates of the production tier are replaced by DynamoDB writes in the demo tier.</w:t>
      </w:r>
    </w:p>
    <w:p>
      <w:pPr>
        <w:pStyle w:val="Heading1"/>
        <w:spacing w:after="200" w:before="400"/>
      </w:pPr>
      <w:r>
        <w:rPr>
          <w:b/>
          <w:bCs/>
          <w:color w:val="1F4E79"/>
          <w:sz w:val="36"/>
          <w:szCs w:val="36"/>
        </w:rPr>
        <w:t xml:space="preserve">4. Per-Question Pipeline</w:t>
      </w:r>
    </w:p>
    <w:p>
      <w:pPr>
        <w:spacing w:after="160"/>
        <w:jc w:val="both"/>
      </w:pPr>
      <w:r>
        <w:t xml:space="preserve">Inside the Step Functions Map state, each question runs through four Lambdas in sequence. Step Functions Standard is used (not Express) because the SME review gate requires waitForTaskToken with no time cap and full execution history for audit.</w:t>
      </w:r>
    </w:p>
    <w:p>
      <w:pPr>
        <w:spacing w:after="160"/>
        <w:jc w:val="both"/>
      </w:pPr>
      <w:r>
        <w:rPr>
          <w:b/>
          <w:bCs/>
        </w:rPr>
        <w:t xml:space="preserve">Classify + dispatch plan. </w:t>
      </w:r>
      <w:r>
        <w:t xml:space="preserve">Haiku 4.5 extracts topic labels from the question text using a topic-pattern map, merges the matching dispatch entries, and returns the combined plan. Deterministic for the vast majority of questions; falls back to LLM inference only for ambiguous phrasings.</w:t>
      </w:r>
    </w:p>
    <w:p>
      <w:pPr>
        <w:spacing w:after="160"/>
        <w:jc w:val="both"/>
      </w:pPr>
      <w:r>
        <w:rPr>
          <w:b/>
          <w:bCs/>
        </w:rPr>
        <w:t xml:space="preserve">Retrieve. </w:t>
      </w:r>
      <w:r>
        <w:t xml:space="preserve">Queries only the sources named in the dispatch plan, in parallel. Applies the four corroboration rules from §5.4 before returning. Stale priors are suppressed upstream so they never influence generation.</w:t>
      </w:r>
    </w:p>
    <w:p>
      <w:pPr>
        <w:spacing w:after="160"/>
        <w:jc w:val="both"/>
      </w:pPr>
      <w:r>
        <w:rPr>
          <w:b/>
          <w:bCs/>
        </w:rPr>
        <w:t xml:space="preserve">Generate. </w:t>
      </w:r>
      <w:r>
        <w:t xml:space="preserve">Sonnet 4.6 synthesizes the answer. Prompt caching on the stable prefix reduces input-token cost by approximately 70% on second-through-Nth invocations. Bedrock Guardrails fire on both input and output. The generator self-flags pricing, compliance, forward-looking, and customer-reference patterns in its output, which the hard-rules engine cross-checks against its own regex patterns.</w:t>
      </w:r>
    </w:p>
    <w:p>
      <w:pPr>
        <w:spacing w:after="160"/>
        <w:jc w:val="both"/>
      </w:pPr>
      <w:r>
        <w:rPr>
          <w:b/>
          <w:bCs/>
        </w:rPr>
        <w:t xml:space="preserve">Score and apply rules. </w:t>
      </w:r>
      <w:r>
        <w:t xml:space="preserve">Composite confidence computed, then hard rules applied as a post-processing filter. Results persist to DynamoDB keyed by (jobId, questionId) so the writer can query independently.</w:t>
      </w:r>
    </w:p>
    <w:p>
      <w:pPr>
        <w:spacing w:after="160"/>
        <w:jc w:val="both"/>
      </w:pPr>
      <w:r>
        <w:t xml:space="preserve">Per-task retry policies apply at every Lambda invocation: three-attempt exponential backoff with jitter on TooManyRequestsException or transient Bedrock throttles.</w:t>
      </w:r>
    </w:p>
    <w:p>
      <w:pPr>
        <w:pStyle w:val="Heading1"/>
        <w:spacing w:after="200" w:before="400"/>
      </w:pPr>
      <w:r>
        <w:rPr>
          <w:b/>
          <w:bCs/>
          <w:color w:val="1F4E79"/>
          <w:sz w:val="36"/>
          <w:szCs w:val="36"/>
        </w:rPr>
        <w:t xml:space="preserve">5. Source Authority — The Differentiator</w:t>
      </w:r>
    </w:p>
    <w:p>
      <w:pPr>
        <w:pStyle w:val="Heading2"/>
        <w:spacing w:after="160" w:before="320"/>
      </w:pPr>
      <w:r>
        <w:rPr>
          <w:b/>
          <w:bCs/>
          <w:color w:val="1F4E79"/>
          <w:sz w:val="28"/>
          <w:szCs w:val="28"/>
        </w:rPr>
        <w:t xml:space="preserve">5.1 The failure mode this solves</w:t>
      </w:r>
    </w:p>
    <w:p>
      <w:pPr>
        <w:spacing w:after="160"/>
        <w:jc w:val="both"/>
      </w:pPr>
      <w:r>
        <w:t xml:space="preserve">Every RFP tool on the market (Loopio, Responsive, Arphie) ships with the same failure mode: stale-content propagation. A prior answer accurate when an SME approved it becomes a lie eighteen months later as the product evolves, the SOC 2 scope changes, or a feature gets deprecated. Without a corroboration discipline, the system confidently generates yesterday's truth for tomorrow's prospect. That behavior is the default of every vector-RAG-plus-approved-library pattern, not a bug.</w:t>
      </w:r>
    </w:p>
    <w:p>
      <w:pPr>
        <w:spacing w:after="160"/>
        <w:jc w:val="both"/>
      </w:pPr>
      <w:r>
        <w:t xml:space="preserve">This architecture addresses the failure mode directly and is the single most differentiating idea in the design.</w:t>
      </w:r>
    </w:p>
    <w:p>
      <w:pPr>
        <w:pStyle w:val="Heading2"/>
        <w:spacing w:after="160" w:before="320"/>
      </w:pPr>
      <w:r>
        <w:rPr>
          <w:b/>
          <w:bCs/>
          <w:color w:val="1F4E79"/>
          <w:sz w:val="28"/>
          <w:szCs w:val="28"/>
        </w:rPr>
        <w:t xml:space="preserve">5.2 The principle</w:t>
      </w:r>
    </w:p>
    <w:p>
      <w:pPr>
        <w:spacing w:after="160"/>
        <w:jc w:val="both"/>
      </w:pPr>
      <w:r>
        <w:t xml:space="preserve">Source authority is topic-dependent. Not every source is equally authoritative for every question type.</w:t>
      </w:r>
    </w:p>
    <w:p>
      <w:pPr>
        <w:pStyle w:val="ListParagraph"/>
        <w:numPr>
          <w:ilvl w:val="0"/>
          <w:numId w:val="2"/>
        </w:numPr>
        <w:spacing w:after="80"/>
      </w:pPr>
      <w:r>
        <w:t xml:space="preserve">A SOC 2 question's source of truth is the current SOC 2 bridge letter, not a prior RFP that quoted an older one.</w:t>
      </w:r>
    </w:p>
    <w:p>
      <w:pPr>
        <w:pStyle w:val="ListParagraph"/>
        <w:numPr>
          <w:ilvl w:val="0"/>
          <w:numId w:val="2"/>
        </w:numPr>
        <w:spacing w:after="80"/>
      </w:pPr>
      <w:r>
        <w:t xml:space="preserve">A feature-capability question's source of truth is current product documentation or a Jira shipped flag, not what the library said last year.</w:t>
      </w:r>
    </w:p>
    <w:p>
      <w:pPr>
        <w:pStyle w:val="ListParagraph"/>
        <w:numPr>
          <w:ilvl w:val="0"/>
          <w:numId w:val="2"/>
        </w:numPr>
        <w:spacing w:after="80"/>
      </w:pPr>
      <w:r>
        <w:t xml:space="preserve">A pricing question's source of truth is the Deal Desk, never the answer library.</w:t>
      </w:r>
    </w:p>
    <w:p>
      <w:pPr>
        <w:spacing w:after="160"/>
        <w:jc w:val="both"/>
      </w:pPr>
      <w:r>
        <w:rPr>
          <w:b/>
          <w:bCs/>
        </w:rPr>
        <w:t xml:space="preserve">Prior RFPs are a phrasing reference, not a factual authority. </w:t>
      </w:r>
      <w:r>
        <w:t xml:space="preserve">They are excellent for articulating technical claims in the brand voice. They are dangerous for facts. Treat them as a style reference and gate them against fresh authoritative sources.</w:t>
      </w:r>
    </w:p>
    <w:p>
      <w:pPr>
        <w:pStyle w:val="Heading2"/>
        <w:spacing w:after="160" w:before="320"/>
      </w:pPr>
      <w:r>
        <w:rPr>
          <w:b/>
          <w:bCs/>
          <w:color w:val="1F4E79"/>
          <w:sz w:val="28"/>
          <w:szCs w:val="28"/>
        </w:rPr>
        <w:t xml:space="preserve">5.3 The source authority matrix</w:t>
      </w:r>
    </w:p>
    <w:p>
      <w:pPr>
        <w:spacing w:after="160"/>
        <w:jc w:val="both"/>
      </w:pPr>
      <w:r>
        <w:t xml:space="preserve">For each topic, a dispatch plan declares Primary (authoritative), Secondary (phrasing reference), and Tertiary (context) sources, plus optional corroboration and force-tier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FBFBF" w:sz="6"/>
              <w:left w:val="single" w:color="BFBFBF" w:sz="6"/>
              <w:bottom w:val="single" w:color="BFBFBF" w:sz="6"/>
              <w:right w:val="single" w:color="BFBFBF" w:sz="6"/>
            </w:tcBorders>
            <w:shd w:fill="DEEBF7" w:val="clear"/>
            <w:tcMar>
              <w:top w:type="dxa" w:w="100"/>
              <w:left w:type="dxa" w:w="160"/>
              <w:bottom w:type="dxa" w:w="100"/>
              <w:right w:type="dxa" w:w="160"/>
            </w:tcMar>
          </w:tcPr>
          <w:p>
            <w:r>
              <w:rPr>
                <w:b/>
                <w:bCs/>
              </w:rPr>
              <w:t xml:space="preserve">Topic</w:t>
            </w:r>
          </w:p>
        </w:tc>
        <w:tc>
          <w:tcPr>
            <w:tcW w:type="dxa" w:w="3200"/>
            <w:tcBorders>
              <w:top w:val="single" w:color="BFBFBF" w:sz="6"/>
              <w:left w:val="single" w:color="BFBFBF" w:sz="6"/>
              <w:bottom w:val="single" w:color="BFBFBF" w:sz="6"/>
              <w:right w:val="single" w:color="BFBFBF" w:sz="6"/>
            </w:tcBorders>
            <w:shd w:fill="DEEBF7" w:val="clear"/>
            <w:tcMar>
              <w:top w:type="dxa" w:w="100"/>
              <w:left w:type="dxa" w:w="160"/>
              <w:bottom w:type="dxa" w:w="100"/>
              <w:right w:type="dxa" w:w="160"/>
            </w:tcMar>
          </w:tcPr>
          <w:p>
            <w:r>
              <w:rPr>
                <w:b/>
                <w:bCs/>
              </w:rPr>
              <w:t xml:space="preserve">Primary source</w:t>
            </w:r>
          </w:p>
        </w:tc>
        <w:tc>
          <w:tcPr>
            <w:tcW w:type="dxa" w:w="3760"/>
            <w:tcBorders>
              <w:top w:val="single" w:color="BFBFBF" w:sz="6"/>
              <w:left w:val="single" w:color="BFBFBF" w:sz="6"/>
              <w:bottom w:val="single" w:color="BFBFBF" w:sz="6"/>
              <w:right w:val="single" w:color="BFBFBF" w:sz="6"/>
            </w:tcBorders>
            <w:shd w:fill="DEEBF7" w:val="clear"/>
            <w:tcMar>
              <w:top w:type="dxa" w:w="100"/>
              <w:left w:type="dxa" w:w="160"/>
              <w:bottom w:type="dxa" w:w="100"/>
              <w:right w:type="dxa" w:w="160"/>
            </w:tcMar>
          </w:tcPr>
          <w:p>
            <w:r>
              <w:rPr>
                <w:b/>
                <w:bCs/>
              </w:rPr>
              <w:t xml:space="preserve">Policy</w:t>
            </w:r>
          </w:p>
        </w:tc>
      </w:tr>
      <w:tr>
        <w:tc>
          <w:tcPr>
            <w:tcW w:type="dxa" w:w="24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SOC 2 / ISO 27001</w:t>
            </w:r>
          </w:p>
        </w:tc>
        <w:tc>
          <w:tcPr>
            <w:tcW w:type="dxa" w:w="32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Compliance store (bridge letters, certificates)</w:t>
            </w:r>
          </w:p>
        </w:tc>
        <w:tc>
          <w:tcPr>
            <w:tcW w:type="dxa" w:w="37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Corroboration required; cap amber without Primary</w:t>
            </w:r>
          </w:p>
        </w:tc>
      </w:tr>
      <w:tr>
        <w:tc>
          <w:tcPr>
            <w:tcW w:type="dxa" w:w="24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Encryption at rest / in transit</w:t>
            </w:r>
          </w:p>
        </w:tc>
        <w:tc>
          <w:tcPr>
            <w:tcW w:type="dxa" w:w="32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Product docs, security whitepaper</w:t>
            </w:r>
          </w:p>
        </w:tc>
        <w:tc>
          <w:tcPr>
            <w:tcW w:type="dxa" w:w="37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Corroboration required</w:t>
            </w:r>
          </w:p>
        </w:tc>
      </w:tr>
      <w:tr>
        <w:tc>
          <w:tcPr>
            <w:tcW w:type="dxa" w:w="24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Feature capability</w:t>
            </w:r>
          </w:p>
        </w:tc>
        <w:tc>
          <w:tcPr>
            <w:tcW w:type="dxa" w:w="32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Product docs + Jira shipped flag</w:t>
            </w:r>
          </w:p>
        </w:tc>
        <w:tc>
          <w:tcPr>
            <w:tcW w:type="dxa" w:w="37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Corroboration required</w:t>
            </w:r>
          </w:p>
        </w:tc>
      </w:tr>
      <w:tr>
        <w:tc>
          <w:tcPr>
            <w:tcW w:type="dxa" w:w="24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Pricing</w:t>
            </w:r>
          </w:p>
        </w:tc>
        <w:tc>
          <w:tcPr>
            <w:tcW w:type="dxa" w:w="32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Deal Desk</w:t>
            </w:r>
          </w:p>
        </w:tc>
        <w:tc>
          <w:tcPr>
            <w:tcW w:type="dxa" w:w="37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Force tier RED; pricing never auto-generated</w:t>
            </w:r>
          </w:p>
        </w:tc>
      </w:tr>
      <w:tr>
        <w:tc>
          <w:tcPr>
            <w:tcW w:type="dxa" w:w="24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Customer reference</w:t>
            </w:r>
          </w:p>
        </w:tc>
        <w:tc>
          <w:tcPr>
            <w:tcW w:type="dxa" w:w="32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Customer References DB</w:t>
            </w:r>
          </w:p>
        </w:tc>
        <w:tc>
          <w:tcPr>
            <w:tcW w:type="dxa" w:w="37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DB gate; amber if invoked name not pre-approved</w:t>
            </w:r>
          </w:p>
        </w:tc>
      </w:tr>
      <w:tr>
        <w:tc>
          <w:tcPr>
            <w:tcW w:type="dxa" w:w="24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Brand positioning</w:t>
            </w:r>
          </w:p>
        </w:tc>
        <w:tc>
          <w:tcPr>
            <w:tcW w:type="dxa" w:w="32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Marketing CMS</w:t>
            </w:r>
          </w:p>
        </w:tc>
        <w:tc>
          <w:tcPr>
            <w:tcW w:type="dxa" w:w="37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Corroboration not required; prior RFPs reinforce phrasing</w:t>
            </w:r>
          </w:p>
        </w:tc>
      </w:tr>
      <w:tr>
        <w:tc>
          <w:tcPr>
            <w:tcW w:type="dxa" w:w="24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DPA / Privacy</w:t>
            </w:r>
          </w:p>
        </w:tc>
        <w:tc>
          <w:tcPr>
            <w:tcW w:type="dxa" w:w="32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Legal policy store</w:t>
            </w:r>
          </w:p>
        </w:tc>
        <w:tc>
          <w:tcPr>
            <w:tcW w:type="dxa" w:w="37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Corroboration required</w:t>
            </w:r>
          </w:p>
        </w:tc>
      </w:tr>
      <w:tr>
        <w:tc>
          <w:tcPr>
            <w:tcW w:type="dxa" w:w="24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Data residency</w:t>
            </w:r>
          </w:p>
        </w:tc>
        <w:tc>
          <w:tcPr>
            <w:tcW w:type="dxa" w:w="32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Product docs</w:t>
            </w:r>
          </w:p>
        </w:tc>
        <w:tc>
          <w:tcPr>
            <w:tcW w:type="dxa" w:w="37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Corroboration required</w:t>
            </w:r>
          </w:p>
        </w:tc>
      </w:tr>
    </w:tbl>
    <w:p>
      <w:pPr>
        <w:pStyle w:val="Heading2"/>
        <w:spacing w:after="160" w:before="320"/>
      </w:pPr>
      <w:r>
        <w:rPr>
          <w:b/>
          <w:bCs/>
          <w:color w:val="1F4E79"/>
          <w:sz w:val="28"/>
          <w:szCs w:val="28"/>
        </w:rPr>
        <w:t xml:space="preserve">5.4 The four corroboration rules</w:t>
      </w:r>
    </w:p>
    <w:p>
      <w:pPr>
        <w:spacing w:after="160"/>
        <w:jc w:val="both"/>
      </w:pPr>
      <w:r>
        <w:t xml:space="preserve">Applied in the retriever Lambda, after source query and before the retrieval envelope is handed to the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BFBFBF" w:sz="6"/>
              <w:left w:val="single" w:color="BFBFBF" w:sz="6"/>
              <w:bottom w:val="single" w:color="BFBFBF" w:sz="6"/>
              <w:right w:val="single" w:color="BFBFBF" w:sz="6"/>
            </w:tcBorders>
            <w:shd w:fill="DEEBF7" w:val="clear"/>
            <w:tcMar>
              <w:top w:type="dxa" w:w="100"/>
              <w:left w:type="dxa" w:w="160"/>
              <w:bottom w:type="dxa" w:w="100"/>
              <w:right w:type="dxa" w:w="160"/>
            </w:tcMar>
          </w:tcPr>
          <w:p>
            <w:r>
              <w:rPr>
                <w:b/>
                <w:bCs/>
              </w:rPr>
              <w:t xml:space="preserve">Rule</w:t>
            </w:r>
          </w:p>
        </w:tc>
        <w:tc>
          <w:tcPr>
            <w:tcW w:type="dxa" w:w="3600"/>
            <w:tcBorders>
              <w:top w:val="single" w:color="BFBFBF" w:sz="6"/>
              <w:left w:val="single" w:color="BFBFBF" w:sz="6"/>
              <w:bottom w:val="single" w:color="BFBFBF" w:sz="6"/>
              <w:right w:val="single" w:color="BFBFBF" w:sz="6"/>
            </w:tcBorders>
            <w:shd w:fill="DEEBF7" w:val="clear"/>
            <w:tcMar>
              <w:top w:type="dxa" w:w="100"/>
              <w:left w:type="dxa" w:w="160"/>
              <w:bottom w:type="dxa" w:w="100"/>
              <w:right w:type="dxa" w:w="160"/>
            </w:tcMar>
          </w:tcPr>
          <w:p>
            <w:r>
              <w:rPr>
                <w:b/>
                <w:bCs/>
              </w:rPr>
              <w:t xml:space="preserve">Trigger</w:t>
            </w:r>
          </w:p>
        </w:tc>
        <w:tc>
          <w:tcPr>
            <w:tcW w:type="dxa" w:w="3560"/>
            <w:tcBorders>
              <w:top w:val="single" w:color="BFBFBF" w:sz="6"/>
              <w:left w:val="single" w:color="BFBFBF" w:sz="6"/>
              <w:bottom w:val="single" w:color="BFBFBF" w:sz="6"/>
              <w:right w:val="single" w:color="BFBFBF" w:sz="6"/>
            </w:tcBorders>
            <w:shd w:fill="DEEBF7" w:val="clear"/>
            <w:tcMar>
              <w:top w:type="dxa" w:w="100"/>
              <w:left w:type="dxa" w:w="160"/>
              <w:bottom w:type="dxa" w:w="100"/>
              <w:right w:type="dxa" w:w="160"/>
            </w:tcMar>
          </w:tcPr>
          <w:p>
            <w:r>
              <w:rPr>
                <w:b/>
                <w:bCs/>
              </w:rPr>
              <w:t xml:space="preserve">Effect</w:t>
            </w:r>
          </w:p>
        </w:tc>
      </w:tr>
      <w:tr>
        <w:tc>
          <w:tcPr>
            <w:tcW w:type="dxa" w:w="22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1. Freshness suppression</w:t>
            </w:r>
          </w:p>
        </w:tc>
        <w:tc>
          <w:tcPr>
            <w:tcW w:type="dxa" w:w="36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Prior RFP's approved_at older than Primary's updated_at</w:t>
            </w:r>
          </w:p>
        </w:tc>
        <w:tc>
          <w:tcPr>
            <w:tcW w:type="dxa" w:w="35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Suppress prior entirely from retrieval; never reaches generator</w:t>
            </w:r>
          </w:p>
        </w:tc>
      </w:tr>
      <w:tr>
        <w:tc>
          <w:tcPr>
            <w:tcW w:type="dxa" w:w="22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2. Primary required</w:t>
            </w:r>
          </w:p>
        </w:tc>
        <w:tc>
          <w:tcPr>
            <w:tcW w:type="dxa" w:w="36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Topic requires corroboration AND no Primary source returned hits</w:t>
            </w:r>
          </w:p>
        </w:tc>
        <w:tc>
          <w:tcPr>
            <w:tcW w:type="dxa" w:w="35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Cap answer tier at AMBER; emit trigger unauthorized_without_primary</w:t>
            </w:r>
          </w:p>
        </w:tc>
      </w:tr>
      <w:tr>
        <w:tc>
          <w:tcPr>
            <w:tcW w:type="dxa" w:w="22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3. Force-tier override</w:t>
            </w:r>
          </w:p>
        </w:tc>
        <w:tc>
          <w:tcPr>
            <w:tcW w:type="dxa" w:w="36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Topic has force_tier directive (pricing, commercial)</w:t>
            </w:r>
          </w:p>
        </w:tc>
        <w:tc>
          <w:tcPr>
            <w:tcW w:type="dxa" w:w="35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Hard-rules engine forces specified tier regardless of composite score</w:t>
            </w:r>
          </w:p>
        </w:tc>
      </w:tr>
      <w:tr>
        <w:tc>
          <w:tcPr>
            <w:tcW w:type="dxa" w:w="22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4. Customer name gating</w:t>
            </w:r>
          </w:p>
        </w:tc>
        <w:tc>
          <w:tcPr>
            <w:tcW w:type="dxa" w:w="36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Generator names a customer not in Customer Refs DB with public_reference=true and unexpired approval</w:t>
            </w:r>
          </w:p>
        </w:tc>
        <w:tc>
          <w:tcPr>
            <w:tcW w:type="dxa" w:w="35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Force AMBER; emit trigger unapproved_reference</w:t>
            </w:r>
          </w:p>
        </w:tc>
      </w:tr>
    </w:tbl>
    <w:p>
      <w:pPr>
        <w:spacing w:after="160"/>
        <w:jc w:val="both"/>
      </w:pPr>
      <w:r>
        <w:rPr>
          <w:b/>
          <w:bCs/>
        </w:rPr>
        <w:t xml:space="preserve">Rule 1 is the anti-decay mechanism. </w:t>
      </w:r>
      <w:r>
        <w:t xml:space="preserve">It is cheap (two timestamp comparisons per retrieval), deterministic (no LLM needed), and addresses the single highest-risk failure mode of the category. If only one rule survived from this design, it would be this one.</w:t>
      </w:r>
    </w:p>
    <w:p>
      <w:pPr>
        <w:pStyle w:val="Heading2"/>
        <w:spacing w:after="160" w:before="320"/>
      </w:pPr>
      <w:r>
        <w:rPr>
          <w:b/>
          <w:bCs/>
          <w:color w:val="1F4E79"/>
          <w:sz w:val="28"/>
          <w:szCs w:val="28"/>
        </w:rPr>
        <w:t xml:space="preserve">5.5 Dispatch table (hardcoded for demo)</w:t>
      </w:r>
    </w:p>
    <w:p>
      <w:pPr>
        <w:spacing w:after="160"/>
        <w:jc w:val="both"/>
      </w:pPr>
      <w:r>
        <w:t xml:space="preserve">The Python dictionary in lambdas/classifier/dispatch.py encodes the table above. Each topic maps to a DispatchPlan dataclass.</w:t>
      </w:r>
    </w:p>
    <w:p>
      <w:pPr>
        <w:shd w:fill="F5F5F5" w:val="clear"/>
        <w:spacing w:after="160" w:before="160"/>
      </w:pPr>
      <w:r>
        <w:rPr>
          <w:rFonts w:ascii="Consolas" w:cs="Consolas" w:eastAsia="Consolas" w:hAnsi="Consolas"/>
          <w:sz w:val="18"/>
          <w:szCs w:val="18"/>
        </w:rPr>
        <w:t xml:space="preserve">DISPATCH_TABLE: dict[str, DispatchPlan] = {</w:t>
      </w:r>
      <w:r>
        <w:rPr>
          <w:rFonts w:ascii="Consolas" w:cs="Consolas" w:eastAsia="Consolas" w:hAnsi="Consolas"/>
          <w:sz w:val="18"/>
          <w:szCs w:val="18"/>
        </w:rPr>
        <w:br/>
        <w:t xml:space="preserve">    "soc2": DispatchPlan(</w:t>
      </w:r>
      <w:r>
        <w:rPr>
          <w:rFonts w:ascii="Consolas" w:cs="Consolas" w:eastAsia="Consolas" w:hAnsi="Consolas"/>
          <w:sz w:val="18"/>
          <w:szCs w:val="18"/>
        </w:rPr>
        <w:br/>
        <w:t xml:space="preserve">        primary=["compliance_store"],</w:t>
      </w:r>
      <w:r>
        <w:rPr>
          <w:rFonts w:ascii="Consolas" w:cs="Consolas" w:eastAsia="Consolas" w:hAnsi="Consolas"/>
          <w:sz w:val="18"/>
          <w:szCs w:val="18"/>
        </w:rPr>
        <w:br/>
        <w:t xml:space="preserve">        secondary=["prior_rfps"],</w:t>
      </w:r>
      <w:r>
        <w:rPr>
          <w:rFonts w:ascii="Consolas" w:cs="Consolas" w:eastAsia="Consolas" w:hAnsi="Consolas"/>
          <w:sz w:val="18"/>
          <w:szCs w:val="18"/>
        </w:rPr>
        <w:br/>
        <w:t xml:space="preserve">        tertiary=["seismic"],</w:t>
      </w:r>
      <w:r>
        <w:rPr>
          <w:rFonts w:ascii="Consolas" w:cs="Consolas" w:eastAsia="Consolas" w:hAnsi="Consolas"/>
          <w:sz w:val="18"/>
          <w:szCs w:val="18"/>
        </w:rPr>
        <w:br/>
        <w:t xml:space="preserve">        corroboration_required=True,</w:t>
      </w:r>
      <w:r>
        <w:rPr>
          <w:rFonts w:ascii="Consolas" w:cs="Consolas" w:eastAsia="Consolas" w:hAnsi="Consolas"/>
          <w:sz w:val="18"/>
          <w:szCs w:val="18"/>
        </w:rPr>
        <w:br/>
        <w:t xml:space="preserve">        max_tier_without_primary=Tier.AMBER,</w:t>
      </w:r>
      <w:r>
        <w:rPr>
          <w:rFonts w:ascii="Consolas" w:cs="Consolas" w:eastAsia="Consolas" w:hAnsi="Consolas"/>
          <w:sz w:val="18"/>
          <w:szCs w:val="18"/>
        </w:rPr>
        <w:br/>
        <w:t xml:space="preserve">    ),</w:t>
      </w:r>
      <w:r>
        <w:rPr>
          <w:rFonts w:ascii="Consolas" w:cs="Consolas" w:eastAsia="Consolas" w:hAnsi="Consolas"/>
          <w:sz w:val="18"/>
          <w:szCs w:val="18"/>
        </w:rPr>
        <w:br/>
        <w:t xml:space="preserve">    "pricing": DispatchPlan(</w:t>
      </w:r>
      <w:r>
        <w:rPr>
          <w:rFonts w:ascii="Consolas" w:cs="Consolas" w:eastAsia="Consolas" w:hAnsi="Consolas"/>
          <w:sz w:val="18"/>
          <w:szCs w:val="18"/>
        </w:rPr>
        <w:br/>
        <w:t xml:space="preserve">        primary=["deal_desk"],</w:t>
      </w:r>
      <w:r>
        <w:rPr>
          <w:rFonts w:ascii="Consolas" w:cs="Consolas" w:eastAsia="Consolas" w:hAnsi="Consolas"/>
          <w:sz w:val="18"/>
          <w:szCs w:val="18"/>
        </w:rPr>
        <w:br/>
        <w:t xml:space="preserve">        force_tier=Tier.RED,</w:t>
      </w:r>
      <w:r>
        <w:rPr>
          <w:rFonts w:ascii="Consolas" w:cs="Consolas" w:eastAsia="Consolas" w:hAnsi="Consolas"/>
          <w:sz w:val="18"/>
          <w:szCs w:val="18"/>
        </w:rPr>
        <w:br/>
        <w:t xml:space="preserve">        reason="pricing_never_autogenerated",</w:t>
      </w:r>
      <w:r>
        <w:rPr>
          <w:rFonts w:ascii="Consolas" w:cs="Consolas" w:eastAsia="Consolas" w:hAnsi="Consolas"/>
          <w:sz w:val="18"/>
          <w:szCs w:val="18"/>
        </w:rPr>
        <w:br/>
        <w:t xml:space="preserve">    ),</w:t>
      </w:r>
      <w:r>
        <w:rPr>
          <w:rFonts w:ascii="Consolas" w:cs="Consolas" w:eastAsia="Consolas" w:hAnsi="Consolas"/>
          <w:sz w:val="18"/>
          <w:szCs w:val="18"/>
        </w:rPr>
        <w:br/>
        <w:t xml:space="preserve">    "customer_reference": DispatchPlan(</w:t>
      </w:r>
      <w:r>
        <w:rPr>
          <w:rFonts w:ascii="Consolas" w:cs="Consolas" w:eastAsia="Consolas" w:hAnsi="Consolas"/>
          <w:sz w:val="18"/>
          <w:szCs w:val="18"/>
        </w:rPr>
        <w:br/>
        <w:t xml:space="preserve">        primary=["customer_refs_db"],</w:t>
      </w:r>
      <w:r>
        <w:rPr>
          <w:rFonts w:ascii="Consolas" w:cs="Consolas" w:eastAsia="Consolas" w:hAnsi="Consolas"/>
          <w:sz w:val="18"/>
          <w:szCs w:val="18"/>
        </w:rPr>
        <w:br/>
        <w:t xml:space="preserve">        tertiary=["prior_rfps"],</w:t>
      </w:r>
      <w:r>
        <w:rPr>
          <w:rFonts w:ascii="Consolas" w:cs="Consolas" w:eastAsia="Consolas" w:hAnsi="Consolas"/>
          <w:sz w:val="18"/>
          <w:szCs w:val="18"/>
        </w:rPr>
        <w:br/>
        <w:t xml:space="preserve">    ),</w:t>
      </w:r>
      <w:r>
        <w:rPr>
          <w:rFonts w:ascii="Consolas" w:cs="Consolas" w:eastAsia="Consolas" w:hAnsi="Consolas"/>
          <w:sz w:val="18"/>
          <w:szCs w:val="18"/>
        </w:rPr>
        <w:br/>
        <w:t xml:space="preserve">    # ... (additional topic entries)</w:t>
      </w:r>
      <w:r>
        <w:rPr>
          <w:rFonts w:ascii="Consolas" w:cs="Consolas" w:eastAsia="Consolas" w:hAnsi="Consolas"/>
          <w:sz w:val="18"/>
          <w:szCs w:val="18"/>
        </w:rPr>
        <w:br/>
        <w:t xml:space="preserve">}</w:t>
      </w:r>
    </w:p>
    <w:p>
      <w:pPr>
        <w:spacing w:after="160"/>
        <w:jc w:val="both"/>
      </w:pPr>
      <w:r>
        <w:t xml:space="preserve">Production path: promote to config/source_authority.yaml reviewed quarterly by Product Marketing, Compliance, and General Counsel. Same governance pattern as the hard-rules config.</w:t>
      </w:r>
    </w:p>
    <w:p>
      <w:pPr>
        <w:pStyle w:val="Heading1"/>
        <w:spacing w:after="200" w:before="400"/>
      </w:pPr>
      <w:r>
        <w:rPr>
          <w:b/>
          <w:bCs/>
          <w:color w:val="1F4E79"/>
          <w:sz w:val="36"/>
          <w:szCs w:val="36"/>
        </w:rPr>
        <w:t xml:space="preserve">6. Composite Confidence Score</w:t>
      </w:r>
    </w:p>
    <w:p>
      <w:pPr>
        <w:spacing w:after="160"/>
        <w:jc w:val="both"/>
      </w:pPr>
      <w:r>
        <w:t xml:space="preserve">The confidence math is deliberately grounded in measurable signals rather than LLM self-report. Modern LLMs are empirically overconfident on wrong answers — the 'confident hallucination' failure mode. The composite below is tunable against labeled data and explainable to a sales leader asking 'why should I trust the green?'</w:t>
      </w:r>
    </w:p>
    <w:p>
      <w:pPr>
        <w:pStyle w:val="Heading3"/>
        <w:spacing w:after="120" w:before="240"/>
      </w:pPr>
      <w:r>
        <w:rPr>
          <w:b/>
          <w:bCs/>
          <w:color w:val="595959"/>
          <w:sz w:val="24"/>
          <w:szCs w:val="24"/>
        </w:rPr>
        <w:t xml:space="preserve">6.1 The formula</w:t>
      </w:r>
    </w:p>
    <w:p>
      <w:pPr>
        <w:spacing w:after="160"/>
        <w:jc w:val="both"/>
      </w:pPr>
      <w:r>
        <w:rPr>
          <w:rFonts w:ascii="Consolas" w:cs="Consolas" w:eastAsia="Consolas" w:hAnsi="Consolas"/>
          <w:sz w:val="20"/>
          <w:szCs w:val="20"/>
        </w:rPr>
        <w:t xml:space="preserve">confidence = 0.45·H + 0.25·R + 0.15·C + 0.10·F + 0.05·G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BFBFBF" w:sz="6"/>
              <w:left w:val="single" w:color="BFBFBF" w:sz="6"/>
              <w:bottom w:val="single" w:color="BFBFBF" w:sz="6"/>
              <w:right w:val="single" w:color="BFBFBF" w:sz="6"/>
            </w:tcBorders>
            <w:shd w:fill="DEEBF7" w:val="clear"/>
            <w:tcMar>
              <w:top w:type="dxa" w:w="100"/>
              <w:left w:type="dxa" w:w="160"/>
              <w:bottom w:type="dxa" w:w="100"/>
              <w:right w:type="dxa" w:w="160"/>
            </w:tcMar>
          </w:tcPr>
          <w:p>
            <w:r>
              <w:rPr>
                <w:b/>
                <w:bCs/>
              </w:rPr>
              <w:t xml:space="preserve">Signal</w:t>
            </w:r>
          </w:p>
        </w:tc>
        <w:tc>
          <w:tcPr>
            <w:tcW w:type="dxa" w:w="1200"/>
            <w:tcBorders>
              <w:top w:val="single" w:color="BFBFBF" w:sz="6"/>
              <w:left w:val="single" w:color="BFBFBF" w:sz="6"/>
              <w:bottom w:val="single" w:color="BFBFBF" w:sz="6"/>
              <w:right w:val="single" w:color="BFBFBF" w:sz="6"/>
            </w:tcBorders>
            <w:shd w:fill="DEEBF7" w:val="clear"/>
            <w:tcMar>
              <w:top w:type="dxa" w:w="100"/>
              <w:left w:type="dxa" w:w="160"/>
              <w:bottom w:type="dxa" w:w="100"/>
              <w:right w:type="dxa" w:w="160"/>
            </w:tcMar>
          </w:tcPr>
          <w:p>
            <w:r>
              <w:rPr>
                <w:b/>
                <w:bCs/>
              </w:rPr>
              <w:t xml:space="preserve">Weight</w:t>
            </w:r>
          </w:p>
        </w:tc>
        <w:tc>
          <w:tcPr>
            <w:tcW w:type="dxa" w:w="5760"/>
            <w:tcBorders>
              <w:top w:val="single" w:color="BFBFBF" w:sz="6"/>
              <w:left w:val="single" w:color="BFBFBF" w:sz="6"/>
              <w:bottom w:val="single" w:color="BFBFBF" w:sz="6"/>
              <w:right w:val="single" w:color="BFBFBF" w:sz="6"/>
            </w:tcBorders>
            <w:shd w:fill="DEEBF7" w:val="clear"/>
            <w:tcMar>
              <w:top w:type="dxa" w:w="100"/>
              <w:left w:type="dxa" w:w="160"/>
              <w:bottom w:type="dxa" w:w="100"/>
              <w:right w:type="dxa" w:w="160"/>
            </w:tcMar>
          </w:tcPr>
          <w:p>
            <w:r>
              <w:rPr>
                <w:b/>
                <w:bCs/>
              </w:rPr>
              <w:t xml:space="preserve">Source</w:t>
            </w:r>
          </w:p>
        </w:tc>
      </w:tr>
      <w:tr>
        <w:tc>
          <w:tcPr>
            <w:tcW w:type="dxa" w:w="24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H — Prior-answer match</w:t>
            </w:r>
          </w:p>
        </w:tc>
        <w:tc>
          <w:tcPr>
            <w:tcW w:type="dxa" w:w="12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0.45</w:t>
            </w:r>
          </w:p>
        </w:tc>
        <w:tc>
          <w:tcPr>
            <w:tcW w:type="dxa" w:w="57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Cosine similarity to nearest SME-approved historical answer</w:t>
            </w:r>
          </w:p>
        </w:tc>
      </w:tr>
      <w:tr>
        <w:tc>
          <w:tcPr>
            <w:tcW w:type="dxa" w:w="24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R — Retrieval strength</w:t>
            </w:r>
          </w:p>
        </w:tc>
        <w:tc>
          <w:tcPr>
            <w:tcW w:type="dxa" w:w="12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0.25</w:t>
            </w:r>
          </w:p>
        </w:tc>
        <w:tc>
          <w:tcPr>
            <w:tcW w:type="dxa" w:w="57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Top-K passage scores from the retrieval layer, normalized 0-1</w:t>
            </w:r>
          </w:p>
        </w:tc>
      </w:tr>
      <w:tr>
        <w:tc>
          <w:tcPr>
            <w:tcW w:type="dxa" w:w="24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C — Source coverage</w:t>
            </w:r>
          </w:p>
        </w:tc>
        <w:tc>
          <w:tcPr>
            <w:tcW w:type="dxa" w:w="12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0.15</w:t>
            </w:r>
          </w:p>
        </w:tc>
        <w:tc>
          <w:tcPr>
            <w:tcW w:type="dxa" w:w="57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1.0 if ≥2 distinct source systems agree; 0.5 if single source; 0.0 if unsupported</w:t>
            </w:r>
          </w:p>
        </w:tc>
      </w:tr>
      <w:tr>
        <w:tc>
          <w:tcPr>
            <w:tcW w:type="dxa" w:w="24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F — Freshness decay</w:t>
            </w:r>
          </w:p>
        </w:tc>
        <w:tc>
          <w:tcPr>
            <w:tcW w:type="dxa" w:w="12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0.10</w:t>
            </w:r>
          </w:p>
        </w:tc>
        <w:tc>
          <w:tcPr>
            <w:tcW w:type="dxa" w:w="57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&lt;90d = 1.0, &lt;1yr = 0.7, &lt;2yr = 0.4, else 0.2</w:t>
            </w:r>
          </w:p>
        </w:tc>
      </w:tr>
      <w:tr>
        <w:tc>
          <w:tcPr>
            <w:tcW w:type="dxa" w:w="24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G — Guardrail clean</w:t>
            </w:r>
          </w:p>
        </w:tc>
        <w:tc>
          <w:tcPr>
            <w:tcW w:type="dxa" w:w="12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0.05</w:t>
            </w:r>
          </w:p>
        </w:tc>
        <w:tc>
          <w:tcPr>
            <w:tcW w:type="dxa" w:w="57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1.0 if no Guardrail or policy flags fired; 0.0 if flagged</w:t>
            </w:r>
          </w:p>
        </w:tc>
      </w:tr>
    </w:tbl>
    <w:p>
      <w:pPr>
        <w:pStyle w:val="Heading3"/>
        <w:spacing w:after="120" w:before="240"/>
      </w:pPr>
      <w:r>
        <w:rPr>
          <w:b/>
          <w:bCs/>
          <w:color w:val="595959"/>
          <w:sz w:val="24"/>
          <w:szCs w:val="24"/>
        </w:rPr>
        <w:t xml:space="preserve">6.2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BFBFBF" w:sz="6"/>
              <w:left w:val="single" w:color="BFBFBF" w:sz="6"/>
              <w:bottom w:val="single" w:color="BFBFBF" w:sz="6"/>
              <w:right w:val="single" w:color="BFBFBF" w:sz="6"/>
            </w:tcBorders>
            <w:shd w:fill="DEEBF7" w:val="clear"/>
            <w:tcMar>
              <w:top w:type="dxa" w:w="100"/>
              <w:left w:type="dxa" w:w="160"/>
              <w:bottom w:type="dxa" w:w="100"/>
              <w:right w:type="dxa" w:w="160"/>
            </w:tcMar>
          </w:tcPr>
          <w:p>
            <w:r>
              <w:rPr>
                <w:b/>
                <w:bCs/>
              </w:rPr>
              <w:t xml:space="preserve">Tier</w:t>
            </w:r>
          </w:p>
        </w:tc>
        <w:tc>
          <w:tcPr>
            <w:tcW w:type="dxa" w:w="2000"/>
            <w:tcBorders>
              <w:top w:val="single" w:color="BFBFBF" w:sz="6"/>
              <w:left w:val="single" w:color="BFBFBF" w:sz="6"/>
              <w:bottom w:val="single" w:color="BFBFBF" w:sz="6"/>
              <w:right w:val="single" w:color="BFBFBF" w:sz="6"/>
            </w:tcBorders>
            <w:shd w:fill="DEEBF7" w:val="clear"/>
            <w:tcMar>
              <w:top w:type="dxa" w:w="100"/>
              <w:left w:type="dxa" w:w="160"/>
              <w:bottom w:type="dxa" w:w="100"/>
              <w:right w:type="dxa" w:w="160"/>
            </w:tcMar>
          </w:tcPr>
          <w:p>
            <w:r>
              <w:rPr>
                <w:b/>
                <w:bCs/>
              </w:rPr>
              <w:t xml:space="preserve">Score range</w:t>
            </w:r>
          </w:p>
        </w:tc>
        <w:tc>
          <w:tcPr>
            <w:tcW w:type="dxa" w:w="5560"/>
            <w:tcBorders>
              <w:top w:val="single" w:color="BFBFBF" w:sz="6"/>
              <w:left w:val="single" w:color="BFBFBF" w:sz="6"/>
              <w:bottom w:val="single" w:color="BFBFBF" w:sz="6"/>
              <w:right w:val="single" w:color="BFBFBF" w:sz="6"/>
            </w:tcBorders>
            <w:shd w:fill="DEEBF7" w:val="clear"/>
            <w:tcMar>
              <w:top w:type="dxa" w:w="100"/>
              <w:left w:type="dxa" w:w="160"/>
              <w:bottom w:type="dxa" w:w="100"/>
              <w:right w:type="dxa" w:w="160"/>
            </w:tcMar>
          </w:tcPr>
          <w:p>
            <w:r>
              <w:rPr>
                <w:b/>
                <w:bCs/>
              </w:rPr>
              <w:t xml:space="preserve">Meaning</w:t>
            </w:r>
          </w:p>
        </w:tc>
      </w:tr>
      <w:tr>
        <w:tc>
          <w:tcPr>
            <w:tcW w:type="dxa" w:w="1800"/>
            <w:tcBorders>
              <w:top w:val="single" w:color="BFBFBF" w:sz="6"/>
              <w:left w:val="single" w:color="BFBFBF" w:sz="6"/>
              <w:bottom w:val="single" w:color="BFBFBF" w:sz="6"/>
              <w:right w:val="single" w:color="BFBFBF" w:sz="6"/>
            </w:tcBorders>
            <w:shd w:fill="D4EDDA" w:val="clear"/>
            <w:tcMar>
              <w:top w:type="dxa" w:w="100"/>
              <w:left w:type="dxa" w:w="160"/>
              <w:bottom w:type="dxa" w:w="100"/>
              <w:right w:type="dxa" w:w="160"/>
            </w:tcMar>
          </w:tcPr>
          <w:p>
            <w:r>
              <w:t xml:space="preserve">Green</w:t>
            </w:r>
          </w:p>
        </w:tc>
        <w:tc>
          <w:tcPr>
            <w:tcW w:type="dxa" w:w="2000"/>
            <w:tcBorders>
              <w:top w:val="single" w:color="BFBFBF" w:sz="6"/>
              <w:left w:val="single" w:color="BFBFBF" w:sz="6"/>
              <w:bottom w:val="single" w:color="BFBFBF" w:sz="6"/>
              <w:right w:val="single" w:color="BFBFBF" w:sz="6"/>
            </w:tcBorders>
            <w:shd w:fill="D4EDDA" w:val="clear"/>
            <w:tcMar>
              <w:top w:type="dxa" w:w="100"/>
              <w:left w:type="dxa" w:w="160"/>
              <w:bottom w:type="dxa" w:w="100"/>
              <w:right w:type="dxa" w:w="160"/>
            </w:tcMar>
          </w:tcPr>
          <w:p>
            <w:r>
              <w:t xml:space="preserve">≥ 0.80</w:t>
            </w:r>
          </w:p>
        </w:tc>
        <w:tc>
          <w:tcPr>
            <w:tcW w:type="dxa" w:w="5560"/>
            <w:tcBorders>
              <w:top w:val="single" w:color="BFBFBF" w:sz="6"/>
              <w:left w:val="single" w:color="BFBFBF" w:sz="6"/>
              <w:bottom w:val="single" w:color="BFBFBF" w:sz="6"/>
              <w:right w:val="single" w:color="BFBFBF" w:sz="6"/>
            </w:tcBorders>
            <w:shd w:fill="D4EDDA" w:val="clear"/>
            <w:tcMar>
              <w:top w:type="dxa" w:w="100"/>
              <w:left w:type="dxa" w:w="160"/>
              <w:bottom w:type="dxa" w:w="100"/>
              <w:right w:type="dxa" w:w="160"/>
            </w:tcMar>
          </w:tcPr>
          <w:p>
            <w:r>
              <w:t xml:space="preserve">Ready to send as drafted; rep review only</w:t>
            </w:r>
          </w:p>
        </w:tc>
      </w:tr>
      <w:tr>
        <w:tc>
          <w:tcPr>
            <w:tcW w:type="dxa" w:w="1800"/>
            <w:tcBorders>
              <w:top w:val="single" w:color="BFBFBF" w:sz="6"/>
              <w:left w:val="single" w:color="BFBFBF" w:sz="6"/>
              <w:bottom w:val="single" w:color="BFBFBF" w:sz="6"/>
              <w:right w:val="single" w:color="BFBFBF" w:sz="6"/>
            </w:tcBorders>
            <w:shd w:fill="FFF3CD" w:val="clear"/>
            <w:tcMar>
              <w:top w:type="dxa" w:w="100"/>
              <w:left w:type="dxa" w:w="160"/>
              <w:bottom w:type="dxa" w:w="100"/>
              <w:right w:type="dxa" w:w="160"/>
            </w:tcMar>
          </w:tcPr>
          <w:p>
            <w:r>
              <w:t xml:space="preserve">Amber</w:t>
            </w:r>
          </w:p>
        </w:tc>
        <w:tc>
          <w:tcPr>
            <w:tcW w:type="dxa" w:w="2000"/>
            <w:tcBorders>
              <w:top w:val="single" w:color="BFBFBF" w:sz="6"/>
              <w:left w:val="single" w:color="BFBFBF" w:sz="6"/>
              <w:bottom w:val="single" w:color="BFBFBF" w:sz="6"/>
              <w:right w:val="single" w:color="BFBFBF" w:sz="6"/>
            </w:tcBorders>
            <w:shd w:fill="FFF3CD" w:val="clear"/>
            <w:tcMar>
              <w:top w:type="dxa" w:w="100"/>
              <w:left w:type="dxa" w:w="160"/>
              <w:bottom w:type="dxa" w:w="100"/>
              <w:right w:type="dxa" w:w="160"/>
            </w:tcMar>
          </w:tcPr>
          <w:p>
            <w:r>
              <w:t xml:space="preserve">0.55 – 0.80</w:t>
            </w:r>
          </w:p>
        </w:tc>
        <w:tc>
          <w:tcPr>
            <w:tcW w:type="dxa" w:w="5560"/>
            <w:tcBorders>
              <w:top w:val="single" w:color="BFBFBF" w:sz="6"/>
              <w:left w:val="single" w:color="BFBFBF" w:sz="6"/>
              <w:bottom w:val="single" w:color="BFBFBF" w:sz="6"/>
              <w:right w:val="single" w:color="BFBFBF" w:sz="6"/>
            </w:tcBorders>
            <w:shd w:fill="FFF3CD" w:val="clear"/>
            <w:tcMar>
              <w:top w:type="dxa" w:w="100"/>
              <w:left w:type="dxa" w:w="160"/>
              <w:bottom w:type="dxa" w:w="100"/>
              <w:right w:type="dxa" w:w="160"/>
            </w:tcMar>
          </w:tcPr>
          <w:p>
            <w:r>
              <w:t xml:space="preserve">SME review required before sending</w:t>
            </w:r>
          </w:p>
        </w:tc>
      </w:tr>
      <w:tr>
        <w:tc>
          <w:tcPr>
            <w:tcW w:type="dxa" w:w="1800"/>
            <w:tcBorders>
              <w:top w:val="single" w:color="BFBFBF" w:sz="6"/>
              <w:left w:val="single" w:color="BFBFBF" w:sz="6"/>
              <w:bottom w:val="single" w:color="BFBFBF" w:sz="6"/>
              <w:right w:val="single" w:color="BFBFBF" w:sz="6"/>
            </w:tcBorders>
            <w:shd w:fill="F8D7DA" w:val="clear"/>
            <w:tcMar>
              <w:top w:type="dxa" w:w="100"/>
              <w:left w:type="dxa" w:w="160"/>
              <w:bottom w:type="dxa" w:w="100"/>
              <w:right w:type="dxa" w:w="160"/>
            </w:tcMar>
          </w:tcPr>
          <w:p>
            <w:r>
              <w:t xml:space="preserve">Red</w:t>
            </w:r>
          </w:p>
        </w:tc>
        <w:tc>
          <w:tcPr>
            <w:tcW w:type="dxa" w:w="2000"/>
            <w:tcBorders>
              <w:top w:val="single" w:color="BFBFBF" w:sz="6"/>
              <w:left w:val="single" w:color="BFBFBF" w:sz="6"/>
              <w:bottom w:val="single" w:color="BFBFBF" w:sz="6"/>
              <w:right w:val="single" w:color="BFBFBF" w:sz="6"/>
            </w:tcBorders>
            <w:shd w:fill="F8D7DA" w:val="clear"/>
            <w:tcMar>
              <w:top w:type="dxa" w:w="100"/>
              <w:left w:type="dxa" w:w="160"/>
              <w:bottom w:type="dxa" w:w="100"/>
              <w:right w:type="dxa" w:w="160"/>
            </w:tcMar>
          </w:tcPr>
          <w:p>
            <w:r>
              <w:t xml:space="preserve">&lt; 0.55</w:t>
            </w:r>
          </w:p>
        </w:tc>
        <w:tc>
          <w:tcPr>
            <w:tcW w:type="dxa" w:w="5560"/>
            <w:tcBorders>
              <w:top w:val="single" w:color="BFBFBF" w:sz="6"/>
              <w:left w:val="single" w:color="BFBFBF" w:sz="6"/>
              <w:bottom w:val="single" w:color="BFBFBF" w:sz="6"/>
              <w:right w:val="single" w:color="BFBFBF" w:sz="6"/>
            </w:tcBorders>
            <w:shd w:fill="F8D7DA" w:val="clear"/>
            <w:tcMar>
              <w:top w:type="dxa" w:w="100"/>
              <w:left w:type="dxa" w:w="160"/>
              <w:bottom w:type="dxa" w:w="100"/>
              <w:right w:type="dxa" w:w="160"/>
            </w:tcMar>
          </w:tcPr>
          <w:p>
            <w:r>
              <w:t xml:space="preserve">SME plus commercial or compliance review required</w:t>
            </w:r>
          </w:p>
        </w:tc>
      </w:tr>
    </w:tbl>
    <w:p>
      <w:pPr>
        <w:pStyle w:val="Heading3"/>
        <w:spacing w:after="120" w:before="240"/>
      </w:pPr>
      <w:r>
        <w:rPr>
          <w:b/>
          <w:bCs/>
          <w:color w:val="595959"/>
          <w:sz w:val="24"/>
          <w:szCs w:val="24"/>
        </w:rPr>
        <w:t xml:space="preserve">6.3 The H-zero safeguard</w:t>
      </w:r>
    </w:p>
    <w:p>
      <w:pPr>
        <w:spacing w:after="160"/>
        <w:jc w:val="both"/>
      </w:pPr>
      <w:r>
        <w:t xml:space="preserve">If no comparable prior SME-approved answer exists at all (H = 0), the tier is capped at amber regardless of the other signals. Even strong retrieval on never-before-answered content does not produce green. This guards against the system ever saying 'we do X' with high confidence when nobody on the team has ever validated the claim before.</w:t>
      </w:r>
    </w:p>
    <w:p>
      <w:pPr>
        <w:pStyle w:val="Heading3"/>
        <w:spacing w:after="120" w:before="240"/>
      </w:pPr>
      <w:r>
        <w:rPr>
          <w:b/>
          <w:bCs/>
          <w:color w:val="595959"/>
          <w:sz w:val="24"/>
          <w:szCs w:val="24"/>
        </w:rPr>
        <w:t xml:space="preserve">6.4 Why never LLM self-reported</w:t>
      </w:r>
    </w:p>
    <w:p>
      <w:pPr>
        <w:spacing w:after="160"/>
        <w:jc w:val="both"/>
      </w:pPr>
      <w:r>
        <w:t xml:space="preserve">Asking an LLM to report its own confidence correlates weakly with correctness and, in the failure modes that matter most (hallucinated facts stated confidently), correlates inversely. The composite replaces that signal with measurable upstream indicators. Each signal can be tuned offline against labeled data; self-report cannot.</w:t>
      </w:r>
    </w:p>
    <w:p>
      <w:pPr>
        <w:pStyle w:val="Heading1"/>
        <w:spacing w:after="200" w:before="400"/>
      </w:pPr>
      <w:r>
        <w:rPr>
          <w:b/>
          <w:bCs/>
          <w:color w:val="1F4E79"/>
          <w:sz w:val="36"/>
          <w:szCs w:val="36"/>
        </w:rPr>
        <w:t xml:space="preserve">7. Hard Rules Engine</w:t>
      </w:r>
    </w:p>
    <w:p>
      <w:pPr>
        <w:spacing w:after="160"/>
        <w:jc w:val="both"/>
      </w:pPr>
      <w:r>
        <w:t xml:space="preserve">Applied post-scoring. Rules can only demote tiers, never promote. These are enterprise-legal constraints reviewed by General Counsel, not AI-safety preferences. Tests in lambdas/tests/test_hard_rules.py lock the behavior — changing them requires a legal review, not a refactor.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BFBFBF" w:sz="6"/>
              <w:left w:val="single" w:color="BFBFBF" w:sz="6"/>
              <w:bottom w:val="single" w:color="BFBFBF" w:sz="6"/>
              <w:right w:val="single" w:color="BFBFBF" w:sz="6"/>
            </w:tcBorders>
            <w:shd w:fill="DEEBF7" w:val="clear"/>
            <w:tcMar>
              <w:top w:type="dxa" w:w="100"/>
              <w:left w:type="dxa" w:w="160"/>
              <w:bottom w:type="dxa" w:w="100"/>
              <w:right w:type="dxa" w:w="160"/>
            </w:tcMar>
          </w:tcPr>
          <w:p>
            <w:r>
              <w:rPr>
                <w:b/>
                <w:bCs/>
              </w:rPr>
              <w:t xml:space="preserve">Trigger</w:t>
            </w:r>
          </w:p>
        </w:tc>
        <w:tc>
          <w:tcPr>
            <w:tcW w:type="dxa" w:w="1800"/>
            <w:tcBorders>
              <w:top w:val="single" w:color="BFBFBF" w:sz="6"/>
              <w:left w:val="single" w:color="BFBFBF" w:sz="6"/>
              <w:bottom w:val="single" w:color="BFBFBF" w:sz="6"/>
              <w:right w:val="single" w:color="BFBFBF" w:sz="6"/>
            </w:tcBorders>
            <w:shd w:fill="DEEBF7" w:val="clear"/>
            <w:tcMar>
              <w:top w:type="dxa" w:w="100"/>
              <w:left w:type="dxa" w:w="160"/>
              <w:bottom w:type="dxa" w:w="100"/>
              <w:right w:type="dxa" w:w="160"/>
            </w:tcMar>
          </w:tcPr>
          <w:p>
            <w:r>
              <w:rPr>
                <w:b/>
                <w:bCs/>
              </w:rPr>
              <w:t xml:space="preserve">Effect</w:t>
            </w:r>
          </w:p>
        </w:tc>
        <w:tc>
          <w:tcPr>
            <w:tcW w:type="dxa" w:w="4360"/>
            <w:tcBorders>
              <w:top w:val="single" w:color="BFBFBF" w:sz="6"/>
              <w:left w:val="single" w:color="BFBFBF" w:sz="6"/>
              <w:bottom w:val="single" w:color="BFBFBF" w:sz="6"/>
              <w:right w:val="single" w:color="BFBFBF" w:sz="6"/>
            </w:tcBorders>
            <w:shd w:fill="DEEBF7" w:val="clear"/>
            <w:tcMar>
              <w:top w:type="dxa" w:w="100"/>
              <w:left w:type="dxa" w:w="160"/>
              <w:bottom w:type="dxa" w:w="100"/>
              <w:right w:type="dxa" w:w="160"/>
            </w:tcMar>
          </w:tcPr>
          <w:p>
            <w:r>
              <w:rPr>
                <w:b/>
                <w:bCs/>
              </w:rPr>
              <w:t xml:space="preserve">Why</w:t>
            </w:r>
          </w:p>
        </w:tc>
      </w:tr>
      <w:tr>
        <w:tc>
          <w:tcPr>
            <w:tcW w:type="dxa" w:w="3200"/>
            <w:tcBorders>
              <w:top w:val="single" w:color="BFBFBF" w:sz="6"/>
              <w:left w:val="single" w:color="BFBFBF" w:sz="6"/>
              <w:bottom w:val="single" w:color="BFBFBF" w:sz="6"/>
              <w:right w:val="single" w:color="BFBFBF" w:sz="6"/>
            </w:tcBorders>
            <w:shd w:fill="F8D7DA" w:val="clear"/>
            <w:tcMar>
              <w:top w:type="dxa" w:w="100"/>
              <w:left w:type="dxa" w:w="160"/>
              <w:bottom w:type="dxa" w:w="100"/>
              <w:right w:type="dxa" w:w="160"/>
            </w:tcMar>
          </w:tcPr>
          <w:p>
            <w:r>
              <w:t xml:space="preserve">Pricing / commercial language</w:t>
            </w:r>
          </w:p>
        </w:tc>
        <w:tc>
          <w:tcPr>
            <w:tcW w:type="dxa" w:w="1800"/>
            <w:tcBorders>
              <w:top w:val="single" w:color="BFBFBF" w:sz="6"/>
              <w:left w:val="single" w:color="BFBFBF" w:sz="6"/>
              <w:bottom w:val="single" w:color="BFBFBF" w:sz="6"/>
              <w:right w:val="single" w:color="BFBFBF" w:sz="6"/>
            </w:tcBorders>
            <w:shd w:fill="F8D7DA" w:val="clear"/>
            <w:tcMar>
              <w:top w:type="dxa" w:w="100"/>
              <w:left w:type="dxa" w:w="160"/>
              <w:bottom w:type="dxa" w:w="100"/>
              <w:right w:type="dxa" w:w="160"/>
            </w:tcMar>
          </w:tcPr>
          <w:p>
            <w:r>
              <w:t xml:space="preserve">Forced RED</w:t>
            </w:r>
          </w:p>
        </w:tc>
        <w:tc>
          <w:tcPr>
            <w:tcW w:type="dxa" w:w="4360"/>
            <w:tcBorders>
              <w:top w:val="single" w:color="BFBFBF" w:sz="6"/>
              <w:left w:val="single" w:color="BFBFBF" w:sz="6"/>
              <w:bottom w:val="single" w:color="BFBFBF" w:sz="6"/>
              <w:right w:val="single" w:color="BFBFBF" w:sz="6"/>
            </w:tcBorders>
            <w:shd w:fill="F8D7DA" w:val="clear"/>
            <w:tcMar>
              <w:top w:type="dxa" w:w="100"/>
              <w:left w:type="dxa" w:w="160"/>
              <w:bottom w:type="dxa" w:w="100"/>
              <w:right w:type="dxa" w:w="160"/>
            </w:tcMar>
          </w:tcPr>
          <w:p>
            <w:r>
              <w:t xml:space="preserve">Unsigned RFP containing pricing can constitute an offer under some procurement law</w:t>
            </w:r>
          </w:p>
        </w:tc>
      </w:tr>
      <w:tr>
        <w:tc>
          <w:tcPr>
            <w:tcW w:type="dxa" w:w="3200"/>
            <w:tcBorders>
              <w:top w:val="single" w:color="BFBFBF" w:sz="6"/>
              <w:left w:val="single" w:color="BFBFBF" w:sz="6"/>
              <w:bottom w:val="single" w:color="BFBFBF" w:sz="6"/>
              <w:right w:val="single" w:color="BFBFBF" w:sz="6"/>
            </w:tcBorders>
            <w:shd w:fill="FFF3CD" w:val="clear"/>
            <w:tcMar>
              <w:top w:type="dxa" w:w="100"/>
              <w:left w:type="dxa" w:w="160"/>
              <w:bottom w:type="dxa" w:w="100"/>
              <w:right w:type="dxa" w:w="160"/>
            </w:tcMar>
          </w:tcPr>
          <w:p>
            <w:r>
              <w:t xml:space="preserve">Compliance / certification claim (SOC 2, ISO, FedRAMP, HIPAA, GDPR, PCI)</w:t>
            </w:r>
          </w:p>
        </w:tc>
        <w:tc>
          <w:tcPr>
            <w:tcW w:type="dxa" w:w="1800"/>
            <w:tcBorders>
              <w:top w:val="single" w:color="BFBFBF" w:sz="6"/>
              <w:left w:val="single" w:color="BFBFBF" w:sz="6"/>
              <w:bottom w:val="single" w:color="BFBFBF" w:sz="6"/>
              <w:right w:val="single" w:color="BFBFBF" w:sz="6"/>
            </w:tcBorders>
            <w:shd w:fill="FFF3CD" w:val="clear"/>
            <w:tcMar>
              <w:top w:type="dxa" w:w="100"/>
              <w:left w:type="dxa" w:w="160"/>
              <w:bottom w:type="dxa" w:w="100"/>
              <w:right w:type="dxa" w:w="160"/>
            </w:tcMar>
          </w:tcPr>
          <w:p>
            <w:r>
              <w:t xml:space="preserve">Minimum AMBER</w:t>
            </w:r>
          </w:p>
        </w:tc>
        <w:tc>
          <w:tcPr>
            <w:tcW w:type="dxa" w:w="4360"/>
            <w:tcBorders>
              <w:top w:val="single" w:color="BFBFBF" w:sz="6"/>
              <w:left w:val="single" w:color="BFBFBF" w:sz="6"/>
              <w:bottom w:val="single" w:color="BFBFBF" w:sz="6"/>
              <w:right w:val="single" w:color="BFBFBF" w:sz="6"/>
            </w:tcBorders>
            <w:shd w:fill="FFF3CD" w:val="clear"/>
            <w:tcMar>
              <w:top w:type="dxa" w:w="100"/>
              <w:left w:type="dxa" w:w="160"/>
              <w:bottom w:type="dxa" w:w="100"/>
              <w:right w:type="dxa" w:w="160"/>
            </w:tcMar>
          </w:tcPr>
          <w:p>
            <w:r>
              <w:t xml:space="preserve">Hallucinated certification claim is grounds for a breach-of-warranty claim</w:t>
            </w:r>
          </w:p>
        </w:tc>
      </w:tr>
      <w:tr>
        <w:tc>
          <w:tcPr>
            <w:tcW w:type="dxa" w:w="3200"/>
            <w:tcBorders>
              <w:top w:val="single" w:color="BFBFBF" w:sz="6"/>
              <w:left w:val="single" w:color="BFBFBF" w:sz="6"/>
              <w:bottom w:val="single" w:color="BFBFBF" w:sz="6"/>
              <w:right w:val="single" w:color="BFBFBF" w:sz="6"/>
            </w:tcBorders>
            <w:shd w:fill="FFF3CD" w:val="clear"/>
            <w:tcMar>
              <w:top w:type="dxa" w:w="100"/>
              <w:left w:type="dxa" w:w="160"/>
              <w:bottom w:type="dxa" w:w="100"/>
              <w:right w:type="dxa" w:w="160"/>
            </w:tcMar>
          </w:tcPr>
          <w:p>
            <w:r>
              <w:t xml:space="preserve">Unapproved customer reference</w:t>
            </w:r>
          </w:p>
        </w:tc>
        <w:tc>
          <w:tcPr>
            <w:tcW w:type="dxa" w:w="1800"/>
            <w:tcBorders>
              <w:top w:val="single" w:color="BFBFBF" w:sz="6"/>
              <w:left w:val="single" w:color="BFBFBF" w:sz="6"/>
              <w:bottom w:val="single" w:color="BFBFBF" w:sz="6"/>
              <w:right w:val="single" w:color="BFBFBF" w:sz="6"/>
            </w:tcBorders>
            <w:shd w:fill="FFF3CD" w:val="clear"/>
            <w:tcMar>
              <w:top w:type="dxa" w:w="100"/>
              <w:left w:type="dxa" w:w="160"/>
              <w:bottom w:type="dxa" w:w="100"/>
              <w:right w:type="dxa" w:w="160"/>
            </w:tcMar>
          </w:tcPr>
          <w:p>
            <w:r>
              <w:t xml:space="preserve">Minimum AMBER</w:t>
            </w:r>
          </w:p>
        </w:tc>
        <w:tc>
          <w:tcPr>
            <w:tcW w:type="dxa" w:w="4360"/>
            <w:tcBorders>
              <w:top w:val="single" w:color="BFBFBF" w:sz="6"/>
              <w:left w:val="single" w:color="BFBFBF" w:sz="6"/>
              <w:bottom w:val="single" w:color="BFBFBF" w:sz="6"/>
              <w:right w:val="single" w:color="BFBFBF" w:sz="6"/>
            </w:tcBorders>
            <w:shd w:fill="FFF3CD" w:val="clear"/>
            <w:tcMar>
              <w:top w:type="dxa" w:w="100"/>
              <w:left w:type="dxa" w:w="160"/>
              <w:bottom w:type="dxa" w:w="100"/>
              <w:right w:type="dxa" w:w="160"/>
            </w:tcMar>
          </w:tcPr>
          <w:p>
            <w:r>
              <w:t xml:space="preserve">Logo rights and case study approval status in Customer References DB</w:t>
            </w:r>
          </w:p>
        </w:tc>
      </w:tr>
      <w:tr>
        <w:tc>
          <w:tcPr>
            <w:tcW w:type="dxa" w:w="3200"/>
            <w:tcBorders>
              <w:top w:val="single" w:color="BFBFBF" w:sz="6"/>
              <w:left w:val="single" w:color="BFBFBF" w:sz="6"/>
              <w:bottom w:val="single" w:color="BFBFBF" w:sz="6"/>
              <w:right w:val="single" w:color="BFBFBF" w:sz="6"/>
            </w:tcBorders>
            <w:shd w:fill="FFF3CD" w:val="clear"/>
            <w:tcMar>
              <w:top w:type="dxa" w:w="100"/>
              <w:left w:type="dxa" w:w="160"/>
              <w:bottom w:type="dxa" w:w="100"/>
              <w:right w:type="dxa" w:w="160"/>
            </w:tcMar>
          </w:tcPr>
          <w:p>
            <w:r>
              <w:t xml:space="preserve">Forward-looking statement ("will deliver by Q3")</w:t>
            </w:r>
          </w:p>
        </w:tc>
        <w:tc>
          <w:tcPr>
            <w:tcW w:type="dxa" w:w="1800"/>
            <w:tcBorders>
              <w:top w:val="single" w:color="BFBFBF" w:sz="6"/>
              <w:left w:val="single" w:color="BFBFBF" w:sz="6"/>
              <w:bottom w:val="single" w:color="BFBFBF" w:sz="6"/>
              <w:right w:val="single" w:color="BFBFBF" w:sz="6"/>
            </w:tcBorders>
            <w:shd w:fill="FFF3CD" w:val="clear"/>
            <w:tcMar>
              <w:top w:type="dxa" w:w="100"/>
              <w:left w:type="dxa" w:w="160"/>
              <w:bottom w:type="dxa" w:w="100"/>
              <w:right w:type="dxa" w:w="160"/>
            </w:tcMar>
          </w:tcPr>
          <w:p>
            <w:r>
              <w:t xml:space="preserve">Minimum AMBER</w:t>
            </w:r>
          </w:p>
        </w:tc>
        <w:tc>
          <w:tcPr>
            <w:tcW w:type="dxa" w:w="4360"/>
            <w:tcBorders>
              <w:top w:val="single" w:color="BFBFBF" w:sz="6"/>
              <w:left w:val="single" w:color="BFBFBF" w:sz="6"/>
              <w:bottom w:val="single" w:color="BFBFBF" w:sz="6"/>
              <w:right w:val="single" w:color="BFBFBF" w:sz="6"/>
            </w:tcBorders>
            <w:shd w:fill="FFF3CD" w:val="clear"/>
            <w:tcMar>
              <w:top w:type="dxa" w:w="100"/>
              <w:left w:type="dxa" w:w="160"/>
              <w:bottom w:type="dxa" w:w="100"/>
              <w:right w:type="dxa" w:w="160"/>
            </w:tcMar>
          </w:tcPr>
          <w:p>
            <w:r>
              <w:t xml:space="preserve">Commitment risk on unratified roadmap</w:t>
            </w:r>
          </w:p>
        </w:tc>
      </w:tr>
      <w:tr>
        <w:tc>
          <w:tcPr>
            <w:tcW w:type="dxa" w:w="3200"/>
            <w:tcBorders>
              <w:top w:val="single" w:color="BFBFBF" w:sz="6"/>
              <w:left w:val="single" w:color="BFBFBF" w:sz="6"/>
              <w:bottom w:val="single" w:color="BFBFBF" w:sz="6"/>
              <w:right w:val="single" w:color="BFBFBF" w:sz="6"/>
            </w:tcBorders>
            <w:shd w:fill="F8D7DA" w:val="clear"/>
            <w:tcMar>
              <w:top w:type="dxa" w:w="100"/>
              <w:left w:type="dxa" w:w="160"/>
              <w:bottom w:type="dxa" w:w="100"/>
              <w:right w:type="dxa" w:w="160"/>
            </w:tcMar>
          </w:tcPr>
          <w:p>
            <w:r>
              <w:t xml:space="preserve">Competitor disparagement</w:t>
            </w:r>
          </w:p>
        </w:tc>
        <w:tc>
          <w:tcPr>
            <w:tcW w:type="dxa" w:w="1800"/>
            <w:tcBorders>
              <w:top w:val="single" w:color="BFBFBF" w:sz="6"/>
              <w:left w:val="single" w:color="BFBFBF" w:sz="6"/>
              <w:bottom w:val="single" w:color="BFBFBF" w:sz="6"/>
              <w:right w:val="single" w:color="BFBFBF" w:sz="6"/>
            </w:tcBorders>
            <w:shd w:fill="F8D7DA" w:val="clear"/>
            <w:tcMar>
              <w:top w:type="dxa" w:w="100"/>
              <w:left w:type="dxa" w:w="160"/>
              <w:bottom w:type="dxa" w:w="100"/>
              <w:right w:type="dxa" w:w="160"/>
            </w:tcMar>
          </w:tcPr>
          <w:p>
            <w:r>
              <w:t xml:space="preserve">Forced RED</w:t>
            </w:r>
          </w:p>
        </w:tc>
        <w:tc>
          <w:tcPr>
            <w:tcW w:type="dxa" w:w="4360"/>
            <w:tcBorders>
              <w:top w:val="single" w:color="BFBFBF" w:sz="6"/>
              <w:left w:val="single" w:color="BFBFBF" w:sz="6"/>
              <w:bottom w:val="single" w:color="BFBFBF" w:sz="6"/>
              <w:right w:val="single" w:color="BFBFBF" w:sz="6"/>
            </w:tcBorders>
            <w:shd w:fill="F8D7DA" w:val="clear"/>
            <w:tcMar>
              <w:top w:type="dxa" w:w="100"/>
              <w:left w:type="dxa" w:w="160"/>
              <w:bottom w:type="dxa" w:w="100"/>
              <w:right w:type="dxa" w:w="160"/>
            </w:tcMar>
          </w:tcPr>
          <w:p>
            <w:r>
              <w:t xml:space="preserve">Legal exposure plus brand damage</w:t>
            </w:r>
          </w:p>
        </w:tc>
      </w:tr>
    </w:tbl>
    <w:p>
      <w:pPr>
        <w:spacing w:after="160"/>
        <w:jc w:val="both"/>
      </w:pPr>
      <w:r>
        <w:t xml:space="preserve">The engine is intentionally regex-based with a declared rule set. Bedrock Guardrails is the second layer of defense for novel phrasings the regex patterns might miss, but the primary discipline is auditable, deterministic regex.</w:t>
      </w:r>
    </w:p>
    <w:p>
      <w:pPr>
        <w:pStyle w:val="Heading1"/>
        <w:spacing w:after="200" w:before="400"/>
      </w:pPr>
      <w:r>
        <w:rPr>
          <w:b/>
          <w:bCs/>
          <w:color w:val="1F4E79"/>
          <w:sz w:val="36"/>
          <w:szCs w:val="36"/>
        </w:rPr>
        <w:t xml:space="preserve">8. Feedback Loop with Provenance</w:t>
      </w:r>
    </w:p>
    <w:p>
      <w:pPr>
        <w:spacing w:after="160"/>
        <w:jc w:val="both"/>
      </w:pPr>
      <w:r>
        <w:t xml:space="preserve">The flywheel is the reason the green-answer percentage rises from 40% at launch to 70% by month six. It works by capturing SME approvals with corroboration provenance and then expiring them when their authoritative source changes.</w:t>
      </w:r>
    </w:p>
    <w:p>
      <w:pPr>
        <w:pStyle w:val="Heading3"/>
        <w:spacing w:after="120" w:before="240"/>
      </w:pPr>
      <w:r>
        <w:rPr>
          <w:b/>
          <w:bCs/>
          <w:color w:val="595959"/>
          <w:sz w:val="24"/>
          <w:szCs w:val="24"/>
        </w:rPr>
        <w:t xml:space="preserve">8.1 On approval</w:t>
      </w:r>
    </w:p>
    <w:p>
      <w:pPr>
        <w:spacing w:after="160"/>
        <w:jc w:val="both"/>
      </w:pPr>
      <w:r>
        <w:t xml:space="preserve">When an SME approves (or edits and approves) an answer in the review UI, a Lambda records the approved answer in the Library Feedback table with these fields:</w:t>
      </w:r>
    </w:p>
    <w:p>
      <w:pPr>
        <w:pStyle w:val="ListParagraph"/>
        <w:numPr>
          <w:ilvl w:val="0"/>
          <w:numId w:val="2"/>
        </w:numPr>
        <w:spacing w:after="80"/>
      </w:pPr>
      <w:r>
        <w:t xml:space="preserve">answer_id, question_text, answer_text, approved_by, approved_at</w:t>
      </w:r>
    </w:p>
    <w:p>
      <w:pPr>
        <w:pStyle w:val="ListParagraph"/>
        <w:numPr>
          <w:ilvl w:val="0"/>
          <w:numId w:val="2"/>
        </w:numPr>
        <w:spacing w:after="80"/>
      </w:pPr>
      <w:r>
        <w:t xml:space="preserve">corroborated_by — the list of Primary source IDs that supported this approval at this moment</w:t>
      </w:r>
    </w:p>
    <w:p>
      <w:pPr>
        <w:pStyle w:val="ListParagraph"/>
        <w:numPr>
          <w:ilvl w:val="0"/>
          <w:numId w:val="2"/>
        </w:numPr>
        <w:spacing w:after="80"/>
      </w:pPr>
      <w:r>
        <w:t xml:space="preserve">corroboration_as_of — timestamp snapshot of the Primary sources' updated_at values at approval time</w:t>
      </w:r>
    </w:p>
    <w:p>
      <w:pPr>
        <w:pStyle w:val="ListParagraph"/>
        <w:numPr>
          <w:ilvl w:val="0"/>
          <w:numId w:val="2"/>
        </w:numPr>
        <w:spacing w:after="80"/>
      </w:pPr>
      <w:r>
        <w:t xml:space="preserve">topic_ids — the topic labels the answer covers</w:t>
      </w:r>
    </w:p>
    <w:p>
      <w:pPr>
        <w:spacing w:after="160"/>
        <w:jc w:val="both"/>
      </w:pPr>
      <w:r>
        <w:t xml:space="preserve">The corroboration fields are the key innovation. Without them, approved answers would sit in the library indefinitely and become decayed as sources evolve.</w:t>
      </w:r>
    </w:p>
    <w:p>
      <w:pPr>
        <w:pStyle w:val="Heading3"/>
        <w:spacing w:after="120" w:before="240"/>
      </w:pPr>
      <w:r>
        <w:rPr>
          <w:b/>
          <w:bCs/>
          <w:color w:val="595959"/>
          <w:sz w:val="24"/>
          <w:szCs w:val="24"/>
        </w:rPr>
        <w:t xml:space="preserve">8.2 The staleness daemon</w:t>
      </w:r>
    </w:p>
    <w:p>
      <w:pPr>
        <w:spacing w:after="160"/>
        <w:jc w:val="both"/>
      </w:pPr>
      <w:r>
        <w:t xml:space="preserve">A scheduled EventBridge Lambda runs daily. It checks each Primary source's current updated_at. Any answer whose corroboration_as_of predates the now-current updated_at of any of its corroborating sources is marked corroboration_stale: true. Stale answers fall out of the H signal (prior-answer match similarity returns zero for them) until an SME re-approves them against the new source state.</w:t>
      </w:r>
    </w:p>
    <w:p>
      <w:pPr>
        <w:spacing w:after="160"/>
        <w:jc w:val="both"/>
      </w:pPr>
      <w:r>
        <w:t xml:space="preserve">The daemon also has an on-demand API Gateway trigger so the staleness logic can be fired visibly during a live demo — useful because a daily EventBridge schedule will not fire during a one-hour demo session.</w:t>
      </w:r>
    </w:p>
    <w:p>
      <w:pPr>
        <w:pStyle w:val="Heading3"/>
        <w:spacing w:after="120" w:before="240"/>
      </w:pPr>
      <w:r>
        <w:rPr>
          <w:b/>
          <w:bCs/>
          <w:color w:val="595959"/>
          <w:sz w:val="24"/>
          <w:szCs w:val="24"/>
        </w:rPr>
        <w:t xml:space="preserve">8.3 The flywheel effect</w:t>
      </w:r>
    </w:p>
    <w:p>
      <w:pPr>
        <w:spacing w:after="160"/>
        <w:jc w:val="both"/>
      </w:pPr>
      <w:r>
        <w:t xml:space="preserve">Over time, the library accretes SME-approved answers that are topic-indexed and corroboration-tracked. Next occurrences of similar questions pull those approved answers, score high on H, and produce green-tier drafts that require minimal rep review. New topics or freshly-changed sources generate amber, focusing SME attention exactly where it creates value. The library does not rot because stale entries self-identify and drop out.</w:t>
      </w:r>
    </w:p>
    <w:p>
      <w:pPr>
        <w:pStyle w:val="Heading1"/>
        <w:spacing w:after="200" w:before="400"/>
      </w:pPr>
      <w:r>
        <w:rPr>
          <w:b/>
          <w:bCs/>
          <w:color w:val="1F4E79"/>
          <w:sz w:val="36"/>
          <w:szCs w:val="36"/>
        </w:rPr>
        <w:t xml:space="preserve">9. Simulated Data Sources</w:t>
      </w:r>
    </w:p>
    <w:p>
      <w:pPr>
        <w:spacing w:after="160"/>
        <w:jc w:val="both"/>
      </w:pPr>
      <w:r>
        <w:t xml:space="preserve">Five sources simulate the enterprise data landscape typically queried during RFP response. Each represents a distinct architectural pattern — if they were all S3 buckets, the multi-source integration story would not land.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FBFBF" w:sz="6"/>
              <w:left w:val="single" w:color="BFBFBF" w:sz="6"/>
              <w:bottom w:val="single" w:color="BFBFBF" w:sz="6"/>
              <w:right w:val="single" w:color="BFBFBF" w:sz="6"/>
            </w:tcBorders>
            <w:shd w:fill="DEEBF7" w:val="clear"/>
            <w:tcMar>
              <w:top w:type="dxa" w:w="100"/>
              <w:left w:type="dxa" w:w="160"/>
              <w:bottom w:type="dxa" w:w="100"/>
              <w:right w:type="dxa" w:w="160"/>
            </w:tcMar>
          </w:tcPr>
          <w:p>
            <w:r>
              <w:rPr>
                <w:b/>
                <w:bCs/>
              </w:rPr>
              <w:t xml:space="preserve">Source</w:t>
            </w:r>
          </w:p>
        </w:tc>
        <w:tc>
          <w:tcPr>
            <w:tcW w:type="dxa" w:w="3400"/>
            <w:tcBorders>
              <w:top w:val="single" w:color="BFBFBF" w:sz="6"/>
              <w:left w:val="single" w:color="BFBFBF" w:sz="6"/>
              <w:bottom w:val="single" w:color="BFBFBF" w:sz="6"/>
              <w:right w:val="single" w:color="BFBFBF" w:sz="6"/>
            </w:tcBorders>
            <w:shd w:fill="DEEBF7" w:val="clear"/>
            <w:tcMar>
              <w:top w:type="dxa" w:w="100"/>
              <w:left w:type="dxa" w:w="160"/>
              <w:bottom w:type="dxa" w:w="100"/>
              <w:right w:type="dxa" w:w="160"/>
            </w:tcMar>
          </w:tcPr>
          <w:p>
            <w:r>
              <w:rPr>
                <w:b/>
                <w:bCs/>
              </w:rPr>
              <w:t xml:space="preserve">Simulated as</w:t>
            </w:r>
          </w:p>
        </w:tc>
        <w:tc>
          <w:tcPr>
            <w:tcW w:type="dxa" w:w="3560"/>
            <w:tcBorders>
              <w:top w:val="single" w:color="BFBFBF" w:sz="6"/>
              <w:left w:val="single" w:color="BFBFBF" w:sz="6"/>
              <w:bottom w:val="single" w:color="BFBFBF" w:sz="6"/>
              <w:right w:val="single" w:color="BFBFBF" w:sz="6"/>
            </w:tcBorders>
            <w:shd w:fill="DEEBF7" w:val="clear"/>
            <w:tcMar>
              <w:top w:type="dxa" w:w="100"/>
              <w:left w:type="dxa" w:w="160"/>
              <w:bottom w:type="dxa" w:w="100"/>
              <w:right w:type="dxa" w:w="160"/>
            </w:tcMar>
          </w:tcPr>
          <w:p>
            <w:r>
              <w:rPr>
                <w:b/>
                <w:bCs/>
              </w:rPr>
              <w:t xml:space="preserve">Pattern demonstrated</w:t>
            </w:r>
          </w:p>
        </w:tc>
      </w:tr>
      <w:tr>
        <w:tc>
          <w:tcPr>
            <w:tcW w:type="dxa" w:w="24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Prior RFPs library</w:t>
            </w:r>
          </w:p>
        </w:tc>
        <w:tc>
          <w:tcPr>
            <w:tcW w:type="dxa" w:w="34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S3 bucket with JSON per Q&amp;A plus approval metadata</w:t>
            </w:r>
          </w:p>
        </w:tc>
        <w:tc>
          <w:tcPr>
            <w:tcW w:type="dxa" w:w="35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Large corpus; phrasing reference; freshness-critical</w:t>
            </w:r>
          </w:p>
        </w:tc>
      </w:tr>
      <w:tr>
        <w:tc>
          <w:tcPr>
            <w:tcW w:type="dxa" w:w="24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Compliance store</w:t>
            </w:r>
          </w:p>
        </w:tc>
        <w:tc>
          <w:tcPr>
            <w:tcW w:type="dxa" w:w="34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S3 bucket with PDFs plus JSON sidecars</w:t>
            </w:r>
          </w:p>
        </w:tc>
        <w:tc>
          <w:tcPr>
            <w:tcW w:type="dxa" w:w="35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Small, high-authority, hard-rule pins here</w:t>
            </w:r>
          </w:p>
        </w:tc>
      </w:tr>
      <w:tr>
        <w:tc>
          <w:tcPr>
            <w:tcW w:type="dxa" w:w="24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Seismic + Gong (consolidated mock)</w:t>
            </w:r>
          </w:p>
        </w:tc>
        <w:tc>
          <w:tcPr>
            <w:tcW w:type="dxa" w:w="34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Single Lambda behind API Gateway with path routing</w:t>
            </w:r>
          </w:p>
        </w:tc>
        <w:tc>
          <w:tcPr>
            <w:tcW w:type="dxa" w:w="35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External REST API pattern: OAuth-style auth, simulated latency, rate limits</w:t>
            </w:r>
          </w:p>
        </w:tc>
      </w:tr>
      <w:tr>
        <w:tc>
          <w:tcPr>
            <w:tcW w:type="dxa" w:w="24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Customer References</w:t>
            </w:r>
          </w:p>
        </w:tc>
        <w:tc>
          <w:tcPr>
            <w:tcW w:type="dxa" w:w="34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DynamoDB table with approval status</w:t>
            </w:r>
          </w:p>
        </w:tc>
        <w:tc>
          <w:tcPr>
            <w:tcW w:type="dxa" w:w="35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Fast point lookup; authoritative gate for hard-rule #4</w:t>
            </w:r>
          </w:p>
        </w:tc>
      </w:tr>
      <w:tr>
        <w:tc>
          <w:tcPr>
            <w:tcW w:type="dxa" w:w="24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Product documentation</w:t>
            </w:r>
          </w:p>
        </w:tc>
        <w:tc>
          <w:tcPr>
            <w:tcW w:type="dxa" w:w="34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S3 bucket with whitepapers plus policy markdown</w:t>
            </w:r>
          </w:p>
        </w:tc>
        <w:tc>
          <w:tcPr>
            <w:tcW w:type="dxa" w:w="35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Medium corpus; feature-capability authority</w:t>
            </w:r>
          </w:p>
        </w:tc>
      </w:tr>
    </w:tbl>
    <w:p>
      <w:pPr>
        <w:spacing w:after="160"/>
        <w:jc w:val="both"/>
      </w:pPr>
      <w:r>
        <w:rPr>
          <w:b/>
          <w:bCs/>
        </w:rPr>
        <w:t xml:space="preserve">Deliberate bad behavior. </w:t>
      </w:r>
      <w:r>
        <w:t xml:space="preserve">The Seismic and Gong mocks are designed to simulate production flakiness: 5% random error rate, occasional 2-second tail latency, per-minute request quotas. This lets the demo show circuit breakers firing live and the audit record capturing source_degraded — production realism that signals architectural maturity to reviewers.</w:t>
      </w:r>
    </w:p>
    <w:p>
      <w:pPr>
        <w:pStyle w:val="Heading1"/>
        <w:spacing w:after="200" w:before="400"/>
      </w:pPr>
      <w:r>
        <w:rPr>
          <w:b/>
          <w:bCs/>
          <w:color w:val="1F4E79"/>
          <w:sz w:val="36"/>
          <w:szCs w:val="36"/>
        </w:rPr>
        <w:t xml:space="preserve">10. API-Call Optimization</w:t>
      </w:r>
    </w:p>
    <w:p>
      <w:pPr>
        <w:spacing w:after="160"/>
        <w:jc w:val="both"/>
      </w:pPr>
      <w:r>
        <w:t xml:space="preserve">Four layered techniques. Each appears as a distinct, visible decision in the demo so the architectural value is demonstrable rather than merely claimed.</w:t>
      </w:r>
    </w:p>
    <w:p>
      <w:pPr>
        <w:pStyle w:val="Heading3"/>
        <w:spacing w:after="120" w:before="240"/>
      </w:pPr>
      <w:r>
        <w:rPr>
          <w:b/>
          <w:bCs/>
          <w:color w:val="595959"/>
          <w:sz w:val="24"/>
          <w:szCs w:val="24"/>
        </w:rPr>
        <w:t xml:space="preserve">10.1 Topic routing</w:t>
      </w:r>
    </w:p>
    <w:p>
      <w:pPr>
        <w:spacing w:after="160"/>
        <w:jc w:val="both"/>
      </w:pPr>
      <w:r>
        <w:t xml:space="preserve">The classifier Lambda outputs topics plus a dispatch plan. A SOC 2 question dispatches to Compliance store plus Prior RFPs only — not Seismic, Gong, or Customer References. Naive 'query everything' costs 5 API calls per question; topic routing costs an average of 2.1 calls per question, a 58% reduction with no loss of answer quality.</w:t>
      </w:r>
    </w:p>
    <w:p>
      <w:pPr>
        <w:pStyle w:val="Heading3"/>
        <w:spacing w:after="120" w:before="240"/>
      </w:pPr>
      <w:r>
        <w:rPr>
          <w:b/>
          <w:bCs/>
          <w:color w:val="595959"/>
          <w:sz w:val="24"/>
          <w:szCs w:val="24"/>
        </w:rPr>
        <w:t xml:space="preserve">10.2 Parallel fan-out</w:t>
      </w:r>
    </w:p>
    <w:p>
      <w:pPr>
        <w:spacing w:after="160"/>
        <w:jc w:val="both"/>
      </w:pPr>
      <w:r>
        <w:t xml:space="preserve">Within a question, relevant sources are called concurrently via asyncio.gather. Latency drops from the sum of source latencies to the maximum. For a three-source question at 120 ms, 350 ms, and 50 ms, sequential total is 520 ms and parallel is 350 ms — a 33% reduction that compounds across a 30-question RFP.</w:t>
      </w:r>
    </w:p>
    <w:p>
      <w:pPr>
        <w:pStyle w:val="Heading3"/>
        <w:spacing w:after="120" w:before="240"/>
      </w:pPr>
      <w:r>
        <w:rPr>
          <w:b/>
          <w:bCs/>
          <w:color w:val="595959"/>
          <w:sz w:val="24"/>
          <w:szCs w:val="24"/>
        </w:rPr>
        <w:t xml:space="preserve">10.3 Two-layer cache</w:t>
      </w:r>
    </w:p>
    <w:p>
      <w:pPr>
        <w:spacing w:after="160"/>
        <w:jc w:val="both"/>
      </w:pPr>
      <w:r>
        <w:rPr>
          <w:b/>
          <w:bCs/>
        </w:rPr>
        <w:t xml:space="preserve">Cross-question cache. </w:t>
      </w:r>
      <w:r>
        <w:t xml:space="preserve">A DynamoDB cache keyed by (source, query_hash) with TTL equal to job duration means the second cross-question retrieval hits cache. Expected ~40% cache hit rate on the second half of a typical RFP. Each hit saves a round-trip to the source.</w:t>
      </w:r>
    </w:p>
    <w:p>
      <w:pPr>
        <w:spacing w:after="160"/>
        <w:jc w:val="both"/>
      </w:pPr>
      <w:r>
        <w:rPr>
          <w:b/>
          <w:bCs/>
        </w:rPr>
        <w:t xml:space="preserve">Bedrock prompt caching. </w:t>
      </w:r>
      <w:r>
        <w:t xml:space="preserve">On the stable system prefix (brand voice, hard-rule reminders, answer-pattern library, approved-references list — approximately 3K tokens), second-through-Nth generator calls bill approximately 10% of the prefix's input-token cost. A 30-question RFP saves roughly $0.50 in Bedrock spend per run via caching alone.</w:t>
      </w:r>
    </w:p>
    <w:p>
      <w:pPr>
        <w:pStyle w:val="Heading3"/>
        <w:spacing w:after="120" w:before="240"/>
      </w:pPr>
      <w:r>
        <w:rPr>
          <w:b/>
          <w:bCs/>
          <w:color w:val="595959"/>
          <w:sz w:val="24"/>
          <w:szCs w:val="24"/>
        </w:rPr>
        <w:t xml:space="preserve">10.4 Circuit breakers and graceful degradation</w:t>
      </w:r>
    </w:p>
    <w:p>
      <w:pPr>
        <w:spacing w:after="160"/>
        <w:jc w:val="both"/>
      </w:pPr>
      <w:r>
        <w:t xml:space="preserve">Each source adapter has a per-job circuit breaker: three consecutive failures and the source is skipped for the remainder of the job. The composite confidence's C signal (coverage) naturally downweights answers missing a source. The demo can show Gong going down mid-run, the breaker firing, and the system continuing to produce amber-flagged answers with source_degraded triggers in the audit record — rather than failing the whole RFP.</w:t>
      </w:r>
    </w:p>
    <w:p>
      <w:pPr>
        <w:pStyle w:val="Heading1"/>
        <w:spacing w:after="200" w:before="400"/>
      </w:pPr>
      <w:r>
        <w:rPr>
          <w:b/>
          <w:bCs/>
          <w:color w:val="1F4E79"/>
          <w:sz w:val="36"/>
          <w:szCs w:val="36"/>
        </w:rPr>
        <w:t xml:space="preserve">11. Production Scale-Up Path</w:t>
      </w:r>
    </w:p>
    <w:p>
      <w:pPr>
        <w:spacing w:after="160"/>
        <w:jc w:val="both"/>
      </w:pPr>
      <w:r>
        <w:t xml:space="preserve">Everything the demo tier deliberately omits, kept as a visible growth story. The demo architecture is designed so each of these swaps is additive, not a rewrite.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6"/>
              <w:left w:val="single" w:color="BFBFBF" w:sz="6"/>
              <w:bottom w:val="single" w:color="BFBFBF" w:sz="6"/>
              <w:right w:val="single" w:color="BFBFBF" w:sz="6"/>
            </w:tcBorders>
            <w:shd w:fill="DEEBF7" w:val="clear"/>
            <w:tcMar>
              <w:top w:type="dxa" w:w="100"/>
              <w:left w:type="dxa" w:w="160"/>
              <w:bottom w:type="dxa" w:w="100"/>
              <w:right w:type="dxa" w:w="160"/>
            </w:tcMar>
          </w:tcPr>
          <w:p>
            <w:r>
              <w:rPr>
                <w:b/>
                <w:bCs/>
              </w:rPr>
              <w:t xml:space="preserve">Scale trigger</w:t>
            </w:r>
          </w:p>
        </w:tc>
        <w:tc>
          <w:tcPr>
            <w:tcW w:type="dxa" w:w="5160"/>
            <w:tcBorders>
              <w:top w:val="single" w:color="BFBFBF" w:sz="6"/>
              <w:left w:val="single" w:color="BFBFBF" w:sz="6"/>
              <w:bottom w:val="single" w:color="BFBFBF" w:sz="6"/>
              <w:right w:val="single" w:color="BFBFBF" w:sz="6"/>
            </w:tcBorders>
            <w:shd w:fill="DEEBF7" w:val="clear"/>
            <w:tcMar>
              <w:top w:type="dxa" w:w="100"/>
              <w:left w:type="dxa" w:w="160"/>
              <w:bottom w:type="dxa" w:w="100"/>
              <w:right w:type="dxa" w:w="160"/>
            </w:tcMar>
          </w:tcPr>
          <w:p>
            <w:r>
              <w:rPr>
                <w:b/>
                <w:bCs/>
              </w:rPr>
              <w:t xml:space="preserve">Scale-up move</w:t>
            </w:r>
          </w:p>
        </w:tc>
      </w:tr>
      <w:tr>
        <w:tc>
          <w:tcPr>
            <w:tcW w:type="dxa" w:w="42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More than 10 source systems</w:t>
            </w:r>
          </w:p>
        </w:tc>
        <w:tc>
          <w:tcPr>
            <w:tcW w:type="dxa" w:w="51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Replace mock APIs with Amazon Kendra plus native connectors</w:t>
            </w:r>
          </w:p>
        </w:tc>
      </w:tr>
      <w:tr>
        <w:tc>
          <w:tcPr>
            <w:tcW w:type="dxa" w:w="42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Multi-hop graph queries emerge (e.g., 'SMEs two hops from this topic')</w:t>
            </w:r>
          </w:p>
        </w:tc>
        <w:tc>
          <w:tcPr>
            <w:tcW w:type="dxa" w:w="51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Promote Customer Refs DB and Library to Neptune Serverless</w:t>
            </w:r>
          </w:p>
        </w:tc>
      </w:tr>
      <w:tr>
        <w:tc>
          <w:tcPr>
            <w:tcW w:type="dxa" w:w="42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Strict data residency or ACL inheritance required</w:t>
            </w:r>
          </w:p>
        </w:tc>
        <w:tc>
          <w:tcPr>
            <w:tcW w:type="dxa" w:w="51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Add VPC plus PrivateLink, enable Kendra ACLs, move to IAM Identity Center</w:t>
            </w:r>
          </w:p>
        </w:tc>
      </w:tr>
      <w:tr>
        <w:tc>
          <w:tcPr>
            <w:tcW w:type="dxa" w:w="42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More than 100-question RFPs at 25x parallelism</w:t>
            </w:r>
          </w:p>
        </w:tc>
        <w:tc>
          <w:tcPr>
            <w:tcW w:type="dxa" w:w="51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Upgrade Map to Distributed Map with per-item audit</w:t>
            </w:r>
          </w:p>
        </w:tc>
      </w:tr>
      <w:tr>
        <w:tc>
          <w:tcPr>
            <w:tcW w:type="dxa" w:w="42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Interactive rep-facing chat</w:t>
            </w:r>
          </w:p>
        </w:tc>
        <w:tc>
          <w:tcPr>
            <w:tcW w:type="dxa" w:w="51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Add Amazon Q Business pointing at the same Kendra index</w:t>
            </w:r>
          </w:p>
        </w:tc>
      </w:tr>
      <w:tr>
        <w:tc>
          <w:tcPr>
            <w:tcW w:type="dxa" w:w="42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Iterative retrieval loops required (re-query if uncertain)</w:t>
            </w:r>
          </w:p>
        </w:tc>
        <w:tc>
          <w:tcPr>
            <w:tcW w:type="dxa" w:w="51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Wrap generator in Bedrock Agents or AgentCore</w:t>
            </w:r>
          </w:p>
        </w:tc>
      </w:tr>
      <w:tr>
        <w:tc>
          <w:tcPr>
            <w:tcW w:type="dxa" w:w="42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High sustained Bedrock volume</w:t>
            </w:r>
          </w:p>
        </w:tc>
        <w:tc>
          <w:tcPr>
            <w:tcW w:type="dxa" w:w="51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Move to Bedrock Provisioned Throughput</w:t>
            </w:r>
          </w:p>
        </w:tc>
      </w:tr>
      <w:tr>
        <w:tc>
          <w:tcPr>
            <w:tcW w:type="dxa" w:w="42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Enterprise audit plus SOC 2</w:t>
            </w:r>
          </w:p>
        </w:tc>
        <w:tc>
          <w:tcPr>
            <w:tcW w:type="dxa" w:w="51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Enable CloudTrail data events, GuardDuty, Macie, Verified Permissions</w:t>
            </w:r>
          </w:p>
        </w:tc>
      </w:tr>
    </w:tbl>
    <w:p>
      <w:pPr>
        <w:pStyle w:val="Heading1"/>
        <w:spacing w:after="200" w:before="400"/>
      </w:pPr>
      <w:r>
        <w:rPr>
          <w:b/>
          <w:bCs/>
          <w:color w:val="1F4E79"/>
          <w:sz w:val="36"/>
          <w:szCs w:val="36"/>
        </w:rPr>
        <w:t xml:space="preserve">12. Explicit Trade-Offs</w:t>
      </w:r>
    </w:p>
    <w:p>
      <w:pPr>
        <w:spacing w:after="160"/>
        <w:jc w:val="both"/>
      </w:pPr>
      <w:r>
        <w:t xml:space="preserve">For the demo tier specifically, these are the trade-offs a reviewer should expect to probe. Surfacing them explicitly signals architectural maturity.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6"/>
              <w:left w:val="single" w:color="BFBFBF" w:sz="6"/>
              <w:bottom w:val="single" w:color="BFBFBF" w:sz="6"/>
              <w:right w:val="single" w:color="BFBFBF" w:sz="6"/>
            </w:tcBorders>
            <w:shd w:fill="DEEBF7" w:val="clear"/>
            <w:tcMar>
              <w:top w:type="dxa" w:w="100"/>
              <w:left w:type="dxa" w:w="160"/>
              <w:bottom w:type="dxa" w:w="100"/>
              <w:right w:type="dxa" w:w="160"/>
            </w:tcMar>
          </w:tcPr>
          <w:p>
            <w:r>
              <w:rPr>
                <w:b/>
                <w:bCs/>
              </w:rPr>
              <w:t xml:space="preserve">Choice</w:t>
            </w:r>
          </w:p>
        </w:tc>
        <w:tc>
          <w:tcPr>
            <w:tcW w:type="dxa" w:w="6160"/>
            <w:tcBorders>
              <w:top w:val="single" w:color="BFBFBF" w:sz="6"/>
              <w:left w:val="single" w:color="BFBFBF" w:sz="6"/>
              <w:bottom w:val="single" w:color="BFBFBF" w:sz="6"/>
              <w:right w:val="single" w:color="BFBFBF" w:sz="6"/>
            </w:tcBorders>
            <w:shd w:fill="DEEBF7" w:val="clear"/>
            <w:tcMar>
              <w:top w:type="dxa" w:w="100"/>
              <w:left w:type="dxa" w:w="160"/>
              <w:bottom w:type="dxa" w:w="100"/>
              <w:right w:type="dxa" w:w="160"/>
            </w:tcMar>
          </w:tcPr>
          <w:p>
            <w:r>
              <w:rPr>
                <w:b/>
                <w:bCs/>
              </w:rPr>
              <w:t xml:space="preserve">Trade-off accepted</w:t>
            </w:r>
          </w:p>
        </w:tc>
      </w:tr>
      <w:tr>
        <w:tc>
          <w:tcPr>
            <w:tcW w:type="dxa" w:w="32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Hardcoded dispatch table in Python</w:t>
            </w:r>
          </w:p>
        </w:tc>
        <w:tc>
          <w:tcPr>
            <w:tcW w:type="dxa" w:w="61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YAML config is the production-correct pattern; documented as scale-up</w:t>
            </w:r>
          </w:p>
        </w:tc>
      </w:tr>
      <w:tr>
        <w:tc>
          <w:tcPr>
            <w:tcW w:type="dxa" w:w="32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No Kendra in demo</w:t>
            </w:r>
          </w:p>
        </w:tc>
        <w:tc>
          <w:tcPr>
            <w:tcW w:type="dxa" w:w="61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Miss native connector breadth and ACL inheritance; noted as scale-up trigger</w:t>
            </w:r>
          </w:p>
        </w:tc>
      </w:tr>
      <w:tr>
        <w:tc>
          <w:tcPr>
            <w:tcW w:type="dxa" w:w="32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No Neptune in demo</w:t>
            </w:r>
          </w:p>
        </w:tc>
        <w:tc>
          <w:tcPr>
            <w:tcW w:type="dxa" w:w="61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Graph-query story deferred; named queries collapse to DynamoDB GSIs at demo scale</w:t>
            </w:r>
          </w:p>
        </w:tc>
      </w:tr>
      <w:tr>
        <w:tc>
          <w:tcPr>
            <w:tcW w:type="dxa" w:w="32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Step Functions Standard, not Express</w:t>
            </w:r>
          </w:p>
        </w:tc>
        <w:tc>
          <w:tcPr>
            <w:tcW w:type="dxa" w:w="61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Higher per-execution cost; acceptable because Standard is needed for waitForTaskToken</w:t>
            </w:r>
          </w:p>
        </w:tc>
      </w:tr>
      <w:tr>
        <w:tc>
          <w:tcPr>
            <w:tcW w:type="dxa" w:w="32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Map state, not Distributed Map</w:t>
            </w:r>
          </w:p>
        </w:tc>
        <w:tc>
          <w:tcPr>
            <w:tcW w:type="dxa" w:w="61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Will not handle 500-question RFPs; scale-up documented</w:t>
            </w:r>
          </w:p>
        </w:tc>
      </w:tr>
      <w:tr>
        <w:tc>
          <w:tcPr>
            <w:tcW w:type="dxa" w:w="32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Freshness suppression without LLM cross-check</w:t>
            </w:r>
          </w:p>
        </w:tc>
        <w:tc>
          <w:tcPr>
            <w:tcW w:type="dxa" w:w="61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May over-suppress legitimate stable answers; SME feedback corrects false positives</w:t>
            </w:r>
          </w:p>
        </w:tc>
      </w:tr>
      <w:tr>
        <w:tc>
          <w:tcPr>
            <w:tcW w:type="dxa" w:w="32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Composite confidence, not LLM self-report</w:t>
            </w:r>
          </w:p>
        </w:tc>
        <w:tc>
          <w:tcPr>
            <w:tcW w:type="dxa" w:w="61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Requires offline weight calibration against labeled data</w:t>
            </w:r>
          </w:p>
        </w:tc>
      </w:tr>
      <w:tr>
        <w:tc>
          <w:tcPr>
            <w:tcW w:type="dxa" w:w="32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Hard rules as Python regex plus config</w:t>
            </w:r>
          </w:p>
        </w:tc>
        <w:tc>
          <w:tcPr>
            <w:tcW w:type="dxa" w:w="61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May miss novel risky phrasings; Bedrock Guardrails is the second layer</w:t>
            </w:r>
          </w:p>
        </w:tc>
      </w:tr>
      <w:tr>
        <w:tc>
          <w:tcPr>
            <w:tcW w:type="dxa" w:w="32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One Excel in, one Excel out</w:t>
            </w:r>
          </w:p>
        </w:tc>
        <w:tc>
          <w:tcPr>
            <w:tcW w:type="dxa" w:w="61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Misses the interactive chat surface; Q Business is the production addition</w:t>
            </w:r>
          </w:p>
        </w:tc>
      </w:tr>
      <w:tr>
        <w:tc>
          <w:tcPr>
            <w:tcW w:type="dxa" w:w="32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No VPC in demo</w:t>
            </w:r>
          </w:p>
        </w:tc>
        <w:tc>
          <w:tcPr>
            <w:tcW w:type="dxa" w:w="61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Loses defense-in-depth story; production hardening</w:t>
            </w:r>
          </w:p>
        </w:tc>
      </w:tr>
      <w:tr>
        <w:tc>
          <w:tcPr>
            <w:tcW w:type="dxa" w:w="32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Bedrock over OpenAI</w:t>
            </w:r>
          </w:p>
        </w:tc>
        <w:tc>
          <w:tcPr>
            <w:tcW w:type="dxa" w:w="61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Narrower model catalog; tradeable for AWS-native audit path</w:t>
            </w:r>
          </w:p>
        </w:tc>
      </w:tr>
      <w:tr>
        <w:tc>
          <w:tcPr>
            <w:tcW w:type="dxa" w:w="32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Destroy-between-demos pattern</w:t>
            </w:r>
          </w:p>
        </w:tc>
        <w:tc>
          <w:tcPr>
            <w:tcW w:type="dxa" w:w="61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15-minute cold-start if interview runs long; scripts cover it</w:t>
            </w:r>
          </w:p>
        </w:tc>
      </w:tr>
    </w:tbl>
    <w:p>
      <w:pPr>
        <w:pStyle w:val="Heading1"/>
        <w:spacing w:after="200" w:before="400"/>
      </w:pPr>
      <w:r>
        <w:rPr>
          <w:b/>
          <w:bCs/>
          <w:color w:val="1F4E79"/>
          <w:sz w:val="36"/>
          <w:szCs w:val="36"/>
        </w:rPr>
        <w:t xml:space="preserve">13. Deployment Shape</w:t>
      </w:r>
    </w:p>
    <w:p>
      <w:pPr>
        <w:spacing w:after="160"/>
        <w:jc w:val="both"/>
      </w:pPr>
      <w:r>
        <w:t xml:space="preserve">The demo tier targets approximately 25 CDK resources (down from ~60 in the prior v0.4 architecture). No VPC, no PrivateLink, no NAT Gateway, no Kendra, no Neptune. Deploys in approximately 5 minutes; tears down in approximately 3 minutes.</w:t>
      </w:r>
    </w:p>
    <w:p>
      <w:pPr>
        <w:pStyle w:val="Heading3"/>
        <w:spacing w:after="120" w:before="240"/>
      </w:pPr>
      <w:r>
        <w:rPr>
          <w:b/>
          <w:bCs/>
          <w:color w:val="595959"/>
          <w:sz w:val="24"/>
          <w:szCs w:val="24"/>
        </w:rPr>
        <w:t xml:space="preserve">13.1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6"/>
              <w:left w:val="single" w:color="BFBFBF" w:sz="6"/>
              <w:bottom w:val="single" w:color="BFBFBF" w:sz="6"/>
              <w:right w:val="single" w:color="BFBFBF" w:sz="6"/>
            </w:tcBorders>
            <w:shd w:fill="DEEBF7" w:val="clear"/>
            <w:tcMar>
              <w:top w:type="dxa" w:w="100"/>
              <w:left w:type="dxa" w:w="160"/>
              <w:bottom w:type="dxa" w:w="100"/>
              <w:right w:type="dxa" w:w="160"/>
            </w:tcMar>
          </w:tcPr>
          <w:p>
            <w:r>
              <w:rPr>
                <w:b/>
                <w:bCs/>
              </w:rPr>
              <w:t xml:space="preserve">Layer</w:t>
            </w:r>
          </w:p>
        </w:tc>
        <w:tc>
          <w:tcPr>
            <w:tcW w:type="dxa" w:w="7360"/>
            <w:tcBorders>
              <w:top w:val="single" w:color="BFBFBF" w:sz="6"/>
              <w:left w:val="single" w:color="BFBFBF" w:sz="6"/>
              <w:bottom w:val="single" w:color="BFBFBF" w:sz="6"/>
              <w:right w:val="single" w:color="BFBFBF" w:sz="6"/>
            </w:tcBorders>
            <w:shd w:fill="DEEBF7" w:val="clear"/>
            <w:tcMar>
              <w:top w:type="dxa" w:w="100"/>
              <w:left w:type="dxa" w:w="160"/>
              <w:bottom w:type="dxa" w:w="100"/>
              <w:right w:type="dxa" w:w="160"/>
            </w:tcMar>
          </w:tcPr>
          <w:p>
            <w:r>
              <w:rPr>
                <w:b/>
                <w:bCs/>
              </w:rPr>
              <w:t xml:space="preserve">Resources</w:t>
            </w:r>
          </w:p>
        </w:tc>
      </w:tr>
      <w:tr>
        <w:tc>
          <w:tcPr>
            <w:tcW w:type="dxa" w:w="2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Public surfaces</w:t>
            </w:r>
          </w:p>
        </w:tc>
        <w:tc>
          <w:tcPr>
            <w:tcW w:type="dxa" w:w="73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CloudFront, API Gateway v2 (HTTP and WebSocket), Cognito User Pool</w:t>
            </w:r>
          </w:p>
        </w:tc>
      </w:tr>
      <w:tr>
        <w:tc>
          <w:tcPr>
            <w:tcW w:type="dxa" w:w="2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Compute</w:t>
            </w:r>
          </w:p>
        </w:tc>
        <w:tc>
          <w:tcPr>
            <w:tcW w:type="dxa" w:w="73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9 Lambda functions (parser, classifier, retriever, generator, scorer, rules, writer, review API, staleness daemon, mock sources), Step Functions Standard state machine</w:t>
            </w:r>
          </w:p>
        </w:tc>
      </w:tr>
      <w:tr>
        <w:tc>
          <w:tcPr>
            <w:tcW w:type="dxa" w:w="2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Managed AI</w:t>
            </w:r>
          </w:p>
        </w:tc>
        <w:tc>
          <w:tcPr>
            <w:tcW w:type="dxa" w:w="73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Bedrock (Claude Sonnet 4.6, Haiku 4.5), Bedrock Guardrails</w:t>
            </w:r>
          </w:p>
        </w:tc>
      </w:tr>
      <w:tr>
        <w:tc>
          <w:tcPr>
            <w:tcW w:type="dxa" w:w="2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Storage</w:t>
            </w:r>
          </w:p>
        </w:tc>
        <w:tc>
          <w:tcPr>
            <w:tcW w:type="dxa" w:w="73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S3 buckets × 4 (incoming, output, reference corpus, compliance store), DynamoDB tables × 4 (jobs, questions, library feedback, customer references)</w:t>
            </w:r>
          </w:p>
        </w:tc>
      </w:tr>
      <w:tr>
        <w:tc>
          <w:tcPr>
            <w:tcW w:type="dxa" w:w="2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Observability</w:t>
            </w:r>
          </w:p>
        </w:tc>
        <w:tc>
          <w:tcPr>
            <w:tcW w:type="dxa" w:w="73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CloudWatch Logs, X-Ray, CloudTrail</w:t>
            </w:r>
          </w:p>
        </w:tc>
      </w:tr>
      <w:tr>
        <w:tc>
          <w:tcPr>
            <w:tcW w:type="dxa" w:w="2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Identity</w:t>
            </w:r>
          </w:p>
        </w:tc>
        <w:tc>
          <w:tcPr>
            <w:tcW w:type="dxa" w:w="73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IAM roles per Lambda; no VPC, so no security groups or PrivateLink endpoints</w:t>
            </w:r>
          </w:p>
        </w:tc>
      </w:tr>
    </w:tbl>
    <w:p>
      <w:pPr>
        <w:pStyle w:val="Heading3"/>
        <w:spacing w:after="120" w:before="240"/>
      </w:pPr>
      <w:r>
        <w:rPr>
          <w:b/>
          <w:bCs/>
          <w:color w:val="595959"/>
          <w:sz w:val="24"/>
          <w:szCs w:val="24"/>
        </w:rPr>
        <w:t xml:space="preserve">13.2 Why no VPC at the demo tier</w:t>
      </w:r>
    </w:p>
    <w:p>
      <w:pPr>
        <w:spacing w:after="160"/>
        <w:jc w:val="both"/>
      </w:pPr>
      <w:r>
        <w:t xml:space="preserve">The demo runs outside a VPC for three reasons: cost (saves approximately $100/month in interface endpoints), deploy speed (no VPC provisioning), and narrative clarity (one fewer thing to explain in a 10-minute demo). Production deployment adds VPC + PrivateLink + KMS CMKs per data domain; that hardening is in the scale-up plan. For the interview demo, IAM + KMS + Guardrails + CloudTrail cover the security story without the VPC weight.</w:t>
      </w:r>
    </w:p>
    <w:p>
      <w:pPr>
        <w:pStyle w:val="Heading1"/>
        <w:spacing w:after="200" w:before="400"/>
      </w:pPr>
      <w:r>
        <w:rPr>
          <w:b/>
          <w:bCs/>
          <w:color w:val="1F4E79"/>
          <w:sz w:val="36"/>
          <w:szCs w:val="36"/>
        </w:rPr>
        <w:t xml:space="preserve">14. Cost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6"/>
              <w:left w:val="single" w:color="BFBFBF" w:sz="6"/>
              <w:bottom w:val="single" w:color="BFBFBF" w:sz="6"/>
              <w:right w:val="single" w:color="BFBFBF" w:sz="6"/>
            </w:tcBorders>
            <w:shd w:fill="DEEBF7" w:val="clear"/>
            <w:tcMar>
              <w:top w:type="dxa" w:w="100"/>
              <w:left w:type="dxa" w:w="160"/>
              <w:bottom w:type="dxa" w:w="100"/>
              <w:right w:type="dxa" w:w="160"/>
            </w:tcMar>
          </w:tcPr>
          <w:p>
            <w:r>
              <w:rPr>
                <w:b/>
                <w:bCs/>
              </w:rPr>
              <w:t xml:space="preserve">Mode</w:t>
            </w:r>
          </w:p>
        </w:tc>
        <w:tc>
          <w:tcPr>
            <w:tcW w:type="dxa" w:w="6160"/>
            <w:tcBorders>
              <w:top w:val="single" w:color="BFBFBF" w:sz="6"/>
              <w:left w:val="single" w:color="BFBFBF" w:sz="6"/>
              <w:bottom w:val="single" w:color="BFBFBF" w:sz="6"/>
              <w:right w:val="single" w:color="BFBFBF" w:sz="6"/>
            </w:tcBorders>
            <w:shd w:fill="DEEBF7" w:val="clear"/>
            <w:tcMar>
              <w:top w:type="dxa" w:w="100"/>
              <w:left w:type="dxa" w:w="160"/>
              <w:bottom w:type="dxa" w:w="100"/>
              <w:right w:type="dxa" w:w="160"/>
            </w:tcMar>
          </w:tcPr>
          <w:p>
            <w:r>
              <w:rPr>
                <w:b/>
                <w:bCs/>
              </w:rPr>
              <w:t xml:space="preserve">Cost</w:t>
            </w:r>
          </w:p>
        </w:tc>
      </w:tr>
      <w:tr>
        <w:tc>
          <w:tcPr>
            <w:tcW w:type="dxa" w:w="32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Running during a 1-hour demo</w:t>
            </w:r>
          </w:p>
        </w:tc>
        <w:tc>
          <w:tcPr>
            <w:tcW w:type="dxa" w:w="61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~$3 total (Bedrock usage plus fixed infra)</w:t>
            </w:r>
          </w:p>
        </w:tc>
      </w:tr>
      <w:tr>
        <w:tc>
          <w:tcPr>
            <w:tcW w:type="dxa" w:w="32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Running 24/7 continuously</w:t>
            </w:r>
          </w:p>
        </w:tc>
        <w:tc>
          <w:tcPr>
            <w:tcW w:type="dxa" w:w="61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~$120/month (no Kendra or Neptune; fixed costs are KMS + CloudWatch + DynamoDB minimums)</w:t>
            </w:r>
          </w:p>
        </w:tc>
      </w:tr>
      <w:tr>
        <w:tc>
          <w:tcPr>
            <w:tcW w:type="dxa" w:w="32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Deploy + demo + destroy cycle</w:t>
            </w:r>
          </w:p>
        </w:tc>
        <w:tc>
          <w:tcPr>
            <w:tcW w:type="dxa" w:w="61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~$4 per cycle</w:t>
            </w:r>
          </w:p>
        </w:tc>
      </w:tr>
      <w:tr>
        <w:tc>
          <w:tcPr>
            <w:tcW w:type="dxa" w:w="32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Per-RFP variable cost (30 questions)</w:t>
            </w:r>
          </w:p>
        </w:tc>
        <w:tc>
          <w:tcPr>
            <w:tcW w:type="dxa" w:w="61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~$1 in Bedrock tokens; negligible for everything else</w:t>
            </w:r>
          </w:p>
        </w:tc>
      </w:tr>
    </w:tbl>
    <w:p>
      <w:pPr>
        <w:spacing w:after="160"/>
        <w:jc w:val="both"/>
      </w:pPr>
      <w:r>
        <w:rPr>
          <w:b/>
          <w:bCs/>
        </w:rPr>
        <w:t xml:space="preserve">The cost strategy. </w:t>
      </w:r>
      <w:r>
        <w:t xml:space="preserve">Destroy the stack between demos. npx cdk destroy --all tears everything down; redeploy takes approximately 5 minutes (no Kendra or Neptune to provision). On-demand deployment means running costs approach zero between sessions. One demo a week costs approximately $16 per month — coffee money, not budget exposure.</w:t>
      </w:r>
    </w:p>
    <w:p>
      <w:pPr>
        <w:pStyle w:val="Heading1"/>
        <w:spacing w:after="200" w:before="400"/>
      </w:pPr>
      <w:r>
        <w:rPr>
          <w:b/>
          <w:bCs/>
          <w:color w:val="1F4E79"/>
          <w:sz w:val="36"/>
          <w:szCs w:val="36"/>
        </w:rPr>
        <w:t xml:space="preserve">15. Why Not Agentic</w:t>
      </w:r>
    </w:p>
    <w:p>
      <w:pPr>
        <w:spacing w:after="160"/>
        <w:jc w:val="both"/>
      </w:pPr>
      <w:r>
        <w:t xml:space="preserve">The orchestration is deterministic by design. Step Functions owns state and sequencing; LLMs are called at fixed points to do non-deterministic work inside a bounded envelope. This is the correct shape for legal-adjacent, audit-sensitive, latency-bounded workflows.</w:t>
      </w:r>
    </w:p>
    <w:p>
      <w:pPr>
        <w:pStyle w:val="Heading3"/>
        <w:spacing w:after="120" w:before="240"/>
      </w:pPr>
      <w:r>
        <w:rPr>
          <w:b/>
          <w:bCs/>
          <w:color w:val="595959"/>
          <w:sz w:val="24"/>
          <w:szCs w:val="24"/>
        </w:rPr>
        <w:t xml:space="preserve">15.1 The interview answer</w:t>
      </w:r>
    </w:p>
    <w:p>
      <w:pPr>
        <w:pBdr>
          <w:left w:val="single" w:color="1F4E79" w:sz="24" w:space="12"/>
        </w:pBdr>
        <w:spacing w:after="160" w:before="160"/>
        <w:ind w:left="720" w:right="720"/>
      </w:pPr>
      <w:r>
        <w:rPr>
          <w:i/>
          <w:iCs/>
          <w:color w:val="595959"/>
        </w:rPr>
        <w:t xml:space="preserve">This workflow is legal-adjacent, audit-sensitive, and latency-bounded. The orchestration is deterministic by design: Step Functions owns sequencing, Lambdas own stages, and the LLM is called at fixed points inside a bounded envelope. That gets me replayable audit, predictable cost, and governance that doesn't depend on the model remembering a policy. AgentCore becomes the right call when retrieval is iterative or generation is self-critical — for a batch workflow with fixed stages and hard legal constraints, direct InvokeModel inside Step Functions is the cheaper, more auditable, more debuggable choice.</w:t>
      </w:r>
    </w:p>
    <w:p>
      <w:pPr>
        <w:pStyle w:val="Heading3"/>
        <w:spacing w:after="120" w:before="240"/>
      </w:pPr>
      <w:r>
        <w:rPr>
          <w:b/>
          <w:bCs/>
          <w:color w:val="595959"/>
          <w:sz w:val="24"/>
          <w:szCs w:val="24"/>
        </w:rPr>
        <w:t xml:space="preserve">15.2 When agentic patterns become the right answer</w:t>
      </w:r>
    </w:p>
    <w:p>
      <w:pPr>
        <w:spacing w:after="160"/>
        <w:jc w:val="both"/>
      </w:pPr>
      <w:r>
        <w:t xml:space="preserve">Three extensions warrant agentic patterns when they emerge as needs:</w:t>
      </w:r>
    </w:p>
    <w:p>
      <w:pPr>
        <w:pStyle w:val="ListParagraph"/>
        <w:numPr>
          <w:ilvl w:val="0"/>
          <w:numId w:val="2"/>
        </w:numPr>
        <w:spacing w:after="80"/>
      </w:pPr>
      <w:r>
        <w:rPr>
          <w:b/>
          <w:bCs/>
        </w:rPr>
        <w:t xml:space="preserve">Iterative retrieval. </w:t>
      </w:r>
      <w:r>
        <w:t xml:space="preserve">If Kendra plus Neptune per-question is insufficient and the retriever needs to reason 'my evidence is thin, let me query another source and try again' — Bedrock Agents or a Strands-based ReAct loop fits.</w:t>
      </w:r>
    </w:p>
    <w:p>
      <w:pPr>
        <w:pStyle w:val="ListParagraph"/>
        <w:numPr>
          <w:ilvl w:val="0"/>
          <w:numId w:val="2"/>
        </w:numPr>
        <w:spacing w:after="80"/>
      </w:pPr>
      <w:r>
        <w:rPr>
          <w:b/>
          <w:bCs/>
        </w:rPr>
        <w:t xml:space="preserve">Critique-and-revise generation. </w:t>
      </w:r>
      <w:r>
        <w:t xml:space="preserve">If one-shot generation leaves measurable lift on the table, a second LLM call critiques the draft against brand voice plus hard rules plus evidence coverage, and the generator revises. Costs more tokens; worth it if green-answer % rises measurably.</w:t>
      </w:r>
    </w:p>
    <w:p>
      <w:pPr>
        <w:pStyle w:val="ListParagraph"/>
        <w:numPr>
          <w:ilvl w:val="0"/>
          <w:numId w:val="2"/>
        </w:numPr>
        <w:spacing w:after="80"/>
      </w:pPr>
      <w:r>
        <w:rPr>
          <w:b/>
          <w:bCs/>
        </w:rPr>
        <w:t xml:space="preserve">Agentic SME routing. </w:t>
      </w:r>
      <w:r>
        <w:t xml:space="preserve">If the static 'amber goes to Pre-Sales, red goes to Compliance' rule causes bottlenecks, an agent reads the question plus flagged answer and chooses the best SME based on topic, workload, past approval history. Worth it only at scale where static routing causes measurable delays.</w:t>
      </w:r>
    </w:p>
    <w:p>
      <w:pPr>
        <w:spacing w:after="160"/>
        <w:jc w:val="both"/>
      </w:pPr>
      <w:r>
        <w:t xml:space="preserve">None of these are in v1. All of them are easier to add after the deterministic spine is in place than to retrofit a deterministic spine around an already-agentic system.</w:t>
      </w:r>
    </w:p>
    <w:p>
      <w:pPr>
        <w:pStyle w:val="Heading1"/>
        <w:spacing w:after="200" w:before="400"/>
      </w:pPr>
      <w:r>
        <w:rPr>
          <w:b/>
          <w:bCs/>
          <w:color w:val="1F4E79"/>
          <w:sz w:val="36"/>
          <w:szCs w:val="36"/>
        </w:rPr>
        <w:t xml:space="preserve">16. What's Being Built — v0.5 Scope</w:t>
      </w:r>
    </w:p>
    <w:p>
      <w:pPr>
        <w:spacing w:after="160"/>
        <w:jc w:val="both"/>
      </w:pPr>
      <w:r>
        <w:t xml:space="preserve">Claude Code is executing the v0.5 build in five phases. Each phase has verify steps and ships incrementally.</w:t>
      </w:r>
    </w:p>
    <w:p>
      <w:pPr>
        <w:pStyle w:val="Heading3"/>
        <w:spacing w:after="120" w:before="240"/>
      </w:pPr>
      <w:r>
        <w:rPr>
          <w:b/>
          <w:bCs/>
          <w:color w:val="595959"/>
          <w:sz w:val="24"/>
          <w:szCs w:val="24"/>
        </w:rPr>
        <w:t xml:space="preserve">Phase A — Strip to demo-tier shape</w:t>
      </w:r>
    </w:p>
    <w:p>
      <w:pPr>
        <w:pStyle w:val="ListParagraph"/>
        <w:numPr>
          <w:ilvl w:val="0"/>
          <w:numId w:val="2"/>
        </w:numPr>
        <w:spacing w:after="80"/>
      </w:pPr>
      <w:r>
        <w:t xml:space="preserve">Delete Network, Search (Kendra), and Graph (Neptune) stacks</w:t>
      </w:r>
    </w:p>
    <w:p>
      <w:pPr>
        <w:pStyle w:val="ListParagraph"/>
        <w:numPr>
          <w:ilvl w:val="0"/>
          <w:numId w:val="2"/>
        </w:numPr>
        <w:spacing w:after="80"/>
      </w:pPr>
      <w:r>
        <w:t xml:space="preserve">Remove VPC from Lambda factory</w:t>
      </w:r>
    </w:p>
    <w:p>
      <w:pPr>
        <w:pStyle w:val="ListParagraph"/>
        <w:numPr>
          <w:ilvl w:val="0"/>
          <w:numId w:val="2"/>
        </w:numPr>
        <w:spacing w:after="80"/>
      </w:pPr>
      <w:r>
        <w:t xml:space="preserve">Refactor retriever to use direct S3 plus DynamoDB instead of Kendra plus Neptune</w:t>
      </w:r>
    </w:p>
    <w:p>
      <w:pPr>
        <w:pStyle w:val="ListParagraph"/>
        <w:numPr>
          <w:ilvl w:val="0"/>
          <w:numId w:val="2"/>
        </w:numPr>
        <w:spacing w:after="80"/>
      </w:pPr>
      <w:r>
        <w:t xml:space="preserve">Add Customer References DynamoDB table (replaces Neptune Customer vertex)</w:t>
      </w:r>
    </w:p>
    <w:p>
      <w:pPr>
        <w:pStyle w:val="ListParagraph"/>
        <w:numPr>
          <w:ilvl w:val="0"/>
          <w:numId w:val="2"/>
        </w:numPr>
        <w:spacing w:after="80"/>
      </w:pPr>
      <w:r>
        <w:t xml:space="preserve">Delete orphaned clients: shared/kendra_client.py, shared/neptune_client.py, neptune_seed/ Lambda</w:t>
      </w:r>
    </w:p>
    <w:p>
      <w:pPr>
        <w:pStyle w:val="ListParagraph"/>
        <w:numPr>
          <w:ilvl w:val="0"/>
          <w:numId w:val="2"/>
        </w:numPr>
        <w:spacing w:after="80"/>
      </w:pPr>
      <w:r>
        <w:t xml:space="preserve">Verify: npx cdk synth runs clean, resource count drops to approximately 25</w:t>
      </w:r>
    </w:p>
    <w:p>
      <w:pPr>
        <w:pStyle w:val="Heading3"/>
        <w:spacing w:after="120" w:before="240"/>
      </w:pPr>
      <w:r>
        <w:rPr>
          <w:b/>
          <w:bCs/>
          <w:color w:val="595959"/>
          <w:sz w:val="24"/>
          <w:szCs w:val="24"/>
        </w:rPr>
        <w:t xml:space="preserve">Phase B — Source authority layer</w:t>
      </w:r>
    </w:p>
    <w:p>
      <w:pPr>
        <w:pStyle w:val="ListParagraph"/>
        <w:numPr>
          <w:ilvl w:val="0"/>
          <w:numId w:val="2"/>
        </w:numPr>
        <w:spacing w:after="80"/>
      </w:pPr>
      <w:r>
        <w:t xml:space="preserve">Create lambdas/classifier/dispatch.py with the DISPATCH_TABLE</w:t>
      </w:r>
    </w:p>
    <w:p>
      <w:pPr>
        <w:pStyle w:val="ListParagraph"/>
        <w:numPr>
          <w:ilvl w:val="0"/>
          <w:numId w:val="2"/>
        </w:numPr>
        <w:spacing w:after="80"/>
      </w:pPr>
      <w:r>
        <w:t xml:space="preserve">Modify classifier handler to return topics plus dispatch plan</w:t>
      </w:r>
    </w:p>
    <w:p>
      <w:pPr>
        <w:pStyle w:val="ListParagraph"/>
        <w:numPr>
          <w:ilvl w:val="0"/>
          <w:numId w:val="2"/>
        </w:numPr>
        <w:spacing w:after="80"/>
      </w:pPr>
      <w:r>
        <w:t xml:space="preserve">Modify retriever handler to consume dispatch plan and apply four corroboration rules</w:t>
      </w:r>
    </w:p>
    <w:p>
      <w:pPr>
        <w:pStyle w:val="ListParagraph"/>
        <w:numPr>
          <w:ilvl w:val="0"/>
          <w:numId w:val="2"/>
        </w:numPr>
        <w:spacing w:after="80"/>
      </w:pPr>
      <w:r>
        <w:t xml:space="preserve">Add tests for freshness suppression</w:t>
      </w:r>
    </w:p>
    <w:p>
      <w:pPr>
        <w:pStyle w:val="Heading3"/>
        <w:spacing w:after="120" w:before="240"/>
      </w:pPr>
      <w:r>
        <w:rPr>
          <w:b/>
          <w:bCs/>
          <w:color w:val="595959"/>
          <w:sz w:val="24"/>
          <w:szCs w:val="24"/>
        </w:rPr>
        <w:t xml:space="preserve">Phase C — Mock sources plus staleness daemon</w:t>
      </w:r>
    </w:p>
    <w:p>
      <w:pPr>
        <w:pStyle w:val="ListParagraph"/>
        <w:numPr>
          <w:ilvl w:val="0"/>
          <w:numId w:val="2"/>
        </w:numPr>
        <w:spacing w:after="80"/>
      </w:pPr>
      <w:r>
        <w:t xml:space="preserve">Build single mock_sources Lambda with /seismic/content and /gong/calls paths</w:t>
      </w:r>
    </w:p>
    <w:p>
      <w:pPr>
        <w:pStyle w:val="ListParagraph"/>
        <w:numPr>
          <w:ilvl w:val="0"/>
          <w:numId w:val="2"/>
        </w:numPr>
        <w:spacing w:after="80"/>
      </w:pPr>
      <w:r>
        <w:t xml:space="preserve">Simulate realistic bad behavior (5% errors, 2s tail latency, rate limits)</w:t>
      </w:r>
    </w:p>
    <w:p>
      <w:pPr>
        <w:pStyle w:val="ListParagraph"/>
        <w:numPr>
          <w:ilvl w:val="0"/>
          <w:numId w:val="2"/>
        </w:numPr>
        <w:spacing w:after="80"/>
      </w:pPr>
      <w:r>
        <w:t xml:space="preserve">Build staleness_daemon with EventBridge daily schedule plus on-demand API Gateway trigger</w:t>
      </w:r>
    </w:p>
    <w:p>
      <w:pPr>
        <w:pStyle w:val="ListParagraph"/>
        <w:numPr>
          <w:ilvl w:val="0"/>
          <w:numId w:val="2"/>
        </w:numPr>
        <w:spacing w:after="80"/>
      </w:pPr>
      <w:r>
        <w:t xml:space="preserve">Re-seed synthetic data with realistic timestamps including intentionally-stale priors</w:t>
      </w:r>
    </w:p>
    <w:p>
      <w:pPr>
        <w:pStyle w:val="Heading3"/>
        <w:spacing w:after="120" w:before="240"/>
      </w:pPr>
      <w:r>
        <w:rPr>
          <w:b/>
          <w:bCs/>
          <w:color w:val="595959"/>
          <w:sz w:val="24"/>
          <w:szCs w:val="24"/>
        </w:rPr>
        <w:t xml:space="preserve">Phase D — SME review UI</w:t>
      </w:r>
    </w:p>
    <w:p>
      <w:pPr>
        <w:pStyle w:val="ListParagraph"/>
        <w:numPr>
          <w:ilvl w:val="0"/>
          <w:numId w:val="2"/>
        </w:numPr>
        <w:spacing w:after="80"/>
      </w:pPr>
      <w:r>
        <w:t xml:space="preserve">Minimal React app: list amber/red questions with approve/edit/reject</w:t>
      </w:r>
    </w:p>
    <w:p>
      <w:pPr>
        <w:pStyle w:val="ListParagraph"/>
        <w:numPr>
          <w:ilvl w:val="0"/>
          <w:numId w:val="2"/>
        </w:numPr>
        <w:spacing w:after="80"/>
      </w:pPr>
      <w:r>
        <w:t xml:space="preserve">WebSocket API Gateway plus Lambda calling SendTaskSuccess</w:t>
      </w:r>
    </w:p>
    <w:p>
      <w:pPr>
        <w:pStyle w:val="ListParagraph"/>
        <w:numPr>
          <w:ilvl w:val="0"/>
          <w:numId w:val="2"/>
        </w:numPr>
        <w:spacing w:after="80"/>
      </w:pPr>
      <w:r>
        <w:t xml:space="preserve">On approval, write to LibraryFeedback table with corroborated_by and corroborated_at</w:t>
      </w:r>
    </w:p>
    <w:p>
      <w:pPr>
        <w:pStyle w:val="Heading3"/>
        <w:spacing w:after="120" w:before="240"/>
      </w:pPr>
      <w:r>
        <w:rPr>
          <w:b/>
          <w:bCs/>
          <w:color w:val="595959"/>
          <w:sz w:val="24"/>
          <w:szCs w:val="24"/>
        </w:rPr>
        <w:t xml:space="preserve">Phase E — Deploy plus demo polish</w:t>
      </w:r>
    </w:p>
    <w:p>
      <w:pPr>
        <w:pStyle w:val="ListParagraph"/>
        <w:numPr>
          <w:ilvl w:val="0"/>
          <w:numId w:val="2"/>
        </w:numPr>
        <w:spacing w:after="80"/>
      </w:pPr>
      <w:r>
        <w:t xml:space="preserve">scripts/deploy-for-demo.sh and scripts/teardown.sh for fast cycle</w:t>
      </w:r>
    </w:p>
    <w:p>
      <w:pPr>
        <w:pStyle w:val="ListParagraph"/>
        <w:numPr>
          <w:ilvl w:val="0"/>
          <w:numId w:val="2"/>
        </w:numPr>
        <w:spacing w:after="80"/>
      </w:pPr>
      <w:r>
        <w:t xml:space="preserve">Reset-demo script restoring synthetic data in under 2 minutes</w:t>
      </w:r>
    </w:p>
    <w:p>
      <w:pPr>
        <w:pStyle w:val="ListParagraph"/>
        <w:numPr>
          <w:ilvl w:val="0"/>
          <w:numId w:val="2"/>
        </w:numPr>
        <w:spacing w:after="80"/>
      </w:pPr>
      <w:r>
        <w:t xml:space="preserve">Dry-run the full demo flow end-to-end</w:t>
      </w:r>
    </w:p>
    <w:p>
      <w:pPr>
        <w:pStyle w:val="ListParagraph"/>
        <w:numPr>
          <w:ilvl w:val="0"/>
          <w:numId w:val="2"/>
        </w:numPr>
        <w:spacing w:after="80"/>
      </w:pPr>
      <w:r>
        <w:t xml:space="preserve">Verify: stale-prior suppression visible in audit log; circuit breaker fires when a mock source is disabled</w:t>
      </w:r>
    </w:p>
    <w:p>
      <w:pPr>
        <w:pStyle w:val="Heading1"/>
        <w:spacing w:after="200" w:before="400"/>
      </w:pPr>
      <w:r>
        <w:rPr>
          <w:b/>
          <w:bCs/>
          <w:color w:val="1F4E79"/>
          <w:sz w:val="36"/>
          <w:szCs w:val="36"/>
        </w:rPr>
        <w:t xml:space="preserve">17. Companion Documentation</w:t>
      </w:r>
    </w:p>
    <w:p>
      <w:pPr>
        <w:spacing w:after="160"/>
        <w:jc w:val="both"/>
      </w:pPr>
      <w:r>
        <w:t xml:space="preserve">This specification is the Word-formatted design contract. Three companions live in the project repo:</w:t>
      </w:r>
    </w:p>
    <w:p>
      <w:pPr>
        <w:pStyle w:val="ListParagraph"/>
        <w:numPr>
          <w:ilvl w:val="0"/>
          <w:numId w:val="2"/>
        </w:numPr>
        <w:spacing w:after="80"/>
      </w:pPr>
      <w:r>
        <w:rPr>
          <w:b/>
          <w:bCs/>
        </w:rPr>
        <w:t xml:space="preserve">docs/architecture.md </w:t>
      </w:r>
      <w:r>
        <w:t xml:space="preserve">— live Mermaid diagrams (end-to-end flow, per-question pipeline, confidence composite, deployment topology, feedback loop). The Markdown version has renderable diagrams this Word document cannot; read both for the complete picture.</w:t>
      </w:r>
    </w:p>
    <w:p>
      <w:pPr>
        <w:pStyle w:val="ListParagraph"/>
        <w:numPr>
          <w:ilvl w:val="0"/>
          <w:numId w:val="2"/>
        </w:numPr>
        <w:spacing w:after="80"/>
      </w:pPr>
      <w:r>
        <w:rPr>
          <w:b/>
          <w:bCs/>
        </w:rPr>
        <w:t xml:space="preserve">docs/technical-faqs.md </w:t>
      </w:r>
      <w:r>
        <w:t xml:space="preserve">— 47 anticipated Q&amp;A items covering architecture choices, retrieval tradeoffs, confidence methodology, Excel edge cases, security, scaling, cost, and production-readiness gaps.</w:t>
      </w:r>
    </w:p>
    <w:p>
      <w:pPr>
        <w:pStyle w:val="ListParagraph"/>
        <w:numPr>
          <w:ilvl w:val="0"/>
          <w:numId w:val="2"/>
        </w:numPr>
        <w:spacing w:after="80"/>
      </w:pPr>
      <w:r>
        <w:rPr>
          <w:b/>
          <w:bCs/>
        </w:rPr>
        <w:t xml:space="preserve">docs/study/architectural-evolution.docx </w:t>
      </w:r>
      <w:r>
        <w:t xml:space="preserve">— the narrative of how we arrived at v0.5 through earlier iterations, with interview-ready pull quotes and trade-offs catalog.</w:t>
      </w:r>
    </w:p>
    <w:p>
      <w:pPr>
        <w:pStyle w:val="ListParagraph"/>
        <w:numPr>
          <w:ilvl w:val="0"/>
          <w:numId w:val="2"/>
        </w:numPr>
        <w:spacing w:after="80"/>
      </w:pPr>
      <w:r>
        <w:rPr>
          <w:b/>
          <w:bCs/>
        </w:rPr>
        <w:t xml:space="preserve">CLAUDE.md </w:t>
      </w:r>
      <w:r>
        <w:t xml:space="preserve">— the handoff contract Claude Code reads on invocation, with operating principles, non-negotiable design decisions, and the phase-by-phase build plan.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RFP Redlining Copilot — Architecture Specification (v0.5)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RFP Redlining Copilot — Architecture Specification (v0.5)</dc:title>
  <dc:creator>H</dc:creator>
  <dc:description>Design contract for Claude Code implementation</dc:description>
  <cp:lastModifiedBy>Un-named</cp:lastModifiedBy>
  <cp:revision>1</cp:revision>
  <dcterms:created xsi:type="dcterms:W3CDTF">2026-04-16T00:01:13.097Z</dcterms:created>
  <dcterms:modified xsi:type="dcterms:W3CDTF">2026-04-16T00:01:13.097Z</dcterms:modified>
</cp:coreProperties>
</file>

<file path=docProps/custom.xml><?xml version="1.0" encoding="utf-8"?>
<Properties xmlns="http://schemas.openxmlformats.org/officeDocument/2006/custom-properties" xmlns:vt="http://schemas.openxmlformats.org/officeDocument/2006/docPropsVTypes"/>
</file>