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Hybrid Low-LLM NL2SQL Architecture</w:t>
      </w:r>
    </w:p>
    <w:p>
      <w:pPr>
        <w:jc w:val="center"/>
      </w:pPr>
      <w:r>
        <w:rPr>
          <w:i/>
        </w:rPr>
        <w:t>Block-wise component design</w:t>
      </w:r>
    </w:p>
    <w:p>
      <w:pPr>
        <w:pStyle w:val="Heading1"/>
      </w:pPr>
      <w:r>
        <w:t>1. Overall Pipeline</w:t>
      </w:r>
    </w:p>
    <w:p>
      <w:pPr>
        <w:spacing w:before="60" w:after="20"/>
      </w:pPr>
      <w:r>
        <w:rPr>
          <w:rFonts w:ascii="Consolas" w:hAnsi="Consolas"/>
        </w:rPr>
        <w:t>┌─────────────────────────────────────────────────────────────┐</w:t>
      </w:r>
    </w:p>
    <w:p>
      <w:pPr>
        <w:spacing w:after="20"/>
      </w:pPr>
      <w:r>
        <w:rPr>
          <w:rFonts w:ascii="Consolas" w:hAnsi="Consolas"/>
          <w:b/>
        </w:rPr>
        <w:t>│ USER QUESTION                                               │</w:t>
      </w:r>
    </w:p>
    <w:p>
      <w:pPr>
        <w:spacing w:after="20"/>
      </w:pPr>
      <w:r>
        <w:rPr>
          <w:rFonts w:ascii="Consolas" w:hAnsi="Consolas"/>
        </w:rPr>
        <w:t>│ Original natural-language question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1. NORMALIZATION                                            │</w:t>
      </w:r>
    </w:p>
    <w:p>
      <w:pPr>
        <w:spacing w:after="20"/>
      </w:pPr>
      <w:r>
        <w:rPr>
          <w:rFonts w:ascii="Consolas" w:hAnsi="Consolas"/>
        </w:rPr>
        <w:t>│ Rules + NLP + LLM fallback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NORMALIZED QUESTION                                         │</w:t>
      </w:r>
    </w:p>
    <w:p>
      <w:pPr>
        <w:spacing w:after="20"/>
      </w:pPr>
      <w:r>
        <w:rPr>
          <w:rFonts w:ascii="Consolas" w:hAnsi="Consolas"/>
        </w:rPr>
        <w:t>│ Canonical question + extracted concepts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2. INTENT ENGINE                                            │</w:t>
      </w:r>
    </w:p>
    <w:p>
      <w:pPr>
        <w:spacing w:after="20"/>
      </w:pPr>
      <w:r>
        <w:rPr>
          <w:rFonts w:ascii="Consolas" w:hAnsi="Consolas"/>
        </w:rPr>
        <w:t>│ Intent grammar / classifier + LLM fallback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INTENT SPEC JSON                                            │</w:t>
      </w:r>
    </w:p>
    <w:p>
      <w:pPr>
        <w:spacing w:after="20"/>
      </w:pPr>
      <w:r>
        <w:rPr>
          <w:rFonts w:ascii="Consolas" w:hAnsi="Consolas"/>
        </w:rPr>
        <w:t>│ SQL shape / operation sequence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3. KB GROUNDING                                             │</w:t>
      </w:r>
    </w:p>
    <w:p>
      <w:pPr>
        <w:spacing w:after="20"/>
      </w:pPr>
      <w:r>
        <w:rPr>
          <w:rFonts w:ascii="Consolas" w:hAnsi="Consolas"/>
        </w:rPr>
        <w:t>│ BM25 + Vector + Rules + Reranker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GROUNDED CONTEXT                                            │</w:t>
      </w:r>
    </w:p>
    <w:p>
      <w:pPr>
        <w:spacing w:after="20"/>
      </w:pPr>
      <w:r>
        <w:rPr>
          <w:rFonts w:ascii="Consolas" w:hAnsi="Consolas"/>
        </w:rPr>
        <w:t>│ Resolved business concepts, schema, relationships and rules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4. QUERY IR                                                 │</w:t>
      </w:r>
    </w:p>
    <w:p>
      <w:pPr>
        <w:spacing w:after="20"/>
      </w:pPr>
      <w:r>
        <w:rPr>
          <w:rFonts w:ascii="Consolas" w:hAnsi="Consolas"/>
        </w:rPr>
        <w:t>│ Deterministic IR construction + validation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QUERY IR                                                    │</w:t>
      </w:r>
    </w:p>
    <w:p>
      <w:pPr>
        <w:spacing w:after="20"/>
      </w:pPr>
      <w:r>
        <w:rPr>
          <w:rFonts w:ascii="Consolas" w:hAnsi="Consolas"/>
        </w:rPr>
        <w:t>│ Structured representation of the query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5. SQL BUILDER                                              │</w:t>
      </w:r>
    </w:p>
    <w:p>
      <w:pPr>
        <w:spacing w:after="20"/>
      </w:pPr>
      <w:r>
        <w:rPr>
          <w:rFonts w:ascii="Consolas" w:hAnsi="Consolas"/>
        </w:rPr>
        <w:t>│ SQLGlot AST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SQL                                                         │</w:t>
      </w:r>
    </w:p>
    <w:p>
      <w:pPr>
        <w:spacing w:after="20"/>
      </w:pPr>
      <w:r>
        <w:rPr>
          <w:rFonts w:ascii="Consolas" w:hAnsi="Consolas"/>
        </w:rPr>
        <w:t>│ Deterministic SQL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6. SQL VALIDATOR                                            │</w:t>
      </w:r>
    </w:p>
    <w:p>
      <w:pPr>
        <w:spacing w:after="20"/>
      </w:pPr>
      <w:r>
        <w:rPr>
          <w:rFonts w:ascii="Consolas" w:hAnsi="Consolas"/>
        </w:rPr>
        <w:t>│ Parser + schema + safety validation                         │</w:t>
      </w:r>
    </w:p>
    <w:p>
      <w:pPr>
        <w:spacing w:after="40"/>
      </w:pPr>
      <w:r>
        <w:rPr>
          <w:rFonts w:ascii="Consolas" w:hAnsi="Consolas"/>
        </w:rPr>
        <w:t>└─────────────────────────────────────────────────────────────┘</w:t>
      </w:r>
    </w:p>
    <w:p>
      <w:pPr>
        <w:spacing w:after="20"/>
        <w:jc w:val="center"/>
      </w:pPr>
      <w:r>
        <w:t>↓</w:t>
      </w:r>
    </w:p>
    <w:p>
      <w:pPr>
        <w:spacing w:before="60" w:after="20"/>
      </w:pPr>
      <w:r>
        <w:rPr>
          <w:rFonts w:ascii="Consolas" w:hAnsi="Consolas"/>
        </w:rPr>
        <w:t>┌─────────────────────────────────────────────────────────────┐</w:t>
      </w:r>
    </w:p>
    <w:p>
      <w:pPr>
        <w:spacing w:after="20"/>
      </w:pPr>
      <w:r>
        <w:rPr>
          <w:rFonts w:ascii="Consolas" w:hAnsi="Consolas"/>
          <w:b/>
        </w:rPr>
        <w:t>│ EXECUTE / RETRY                                             │</w:t>
      </w:r>
    </w:p>
    <w:p>
      <w:pPr>
        <w:spacing w:after="20"/>
      </w:pPr>
      <w:r>
        <w:rPr>
          <w:rFonts w:ascii="Consolas" w:hAnsi="Consolas"/>
        </w:rPr>
        <w:t>│ Execute, classify failures, repair or escalate              │</w:t>
      </w:r>
    </w:p>
    <w:p>
      <w:pPr>
        <w:spacing w:after="40"/>
      </w:pPr>
      <w:r>
        <w:rPr>
          <w:rFonts w:ascii="Consolas" w:hAnsi="Consolas"/>
        </w:rPr>
        <w:t>└─────────────────────────────────────────────────────────────┘</w:t>
      </w:r>
    </w:p>
    <w:p>
      <w:pPr>
        <w:pStyle w:val="Heading1"/>
      </w:pPr>
      <w:r>
        <w:t>2. Component 1 — Normalization</w:t>
      </w:r>
    </w:p>
    <w:p>
      <w:r>
        <w:t>Purpose: convert the user's English into a canonical representation that the NL2SQL application can reliably understand.</w:t>
      </w:r>
    </w:p>
    <w:p>
      <w:pPr>
        <w:pStyle w:val="ListBullet"/>
      </w:pPr>
      <w:r>
        <w:t>Spelling correction</w:t>
      </w:r>
    </w:p>
    <w:p>
      <w:pPr>
        <w:pStyle w:val="ListBullet"/>
      </w:pPr>
      <w:r>
        <w:t>Abbreviation expansion</w:t>
      </w:r>
    </w:p>
    <w:p>
      <w:pPr>
        <w:pStyle w:val="ListBullet"/>
      </w:pPr>
      <w:r>
        <w:t>Case and whitespace normalization</w:t>
      </w:r>
    </w:p>
    <w:p>
      <w:pPr>
        <w:pStyle w:val="ListBullet"/>
      </w:pPr>
      <w:r>
        <w:t>Common aliases and domain terminology</w:t>
      </w:r>
    </w:p>
    <w:p>
      <w:pPr>
        <w:pStyle w:val="ListBullet"/>
      </w:pPr>
      <w:r>
        <w:t>Date/time normalization</w:t>
      </w:r>
    </w:p>
    <w:p>
      <w:pPr>
        <w:pStyle w:val="ListBullet"/>
      </w:pPr>
      <w:r>
        <w:t>Known terminology from the KB</w:t>
      </w:r>
    </w:p>
    <w:p>
      <w:r>
        <w:t>Flow: User Question → Deterministic Normalization → Confidence Check → LLM only if uncertain</w:t>
      </w:r>
    </w:p>
    <w:p>
      <w:r>
        <w:t>Example: "Can u tell me top 10 grds having max revnue in this yr?"</w:t>
      </w:r>
    </w:p>
    <w:p>
      <w:r>
        <w:t>→ "What are the top 10 grades with the highest revenue this year?"</w:t>
      </w:r>
    </w:p>
    <w:p>
      <w:pPr>
        <w:pStyle w:val="Heading1"/>
      </w:pPr>
      <w:r>
        <w:t>3. Component 2 — Intent Engine</w:t>
      </w:r>
    </w:p>
    <w:p>
      <w:r>
        <w:t>Purpose: identify what operations the user wants, without deciding which database tables or columns implement them.</w:t>
      </w:r>
    </w:p>
    <w:p>
      <w:r>
        <w:t>Example:</w:t>
      </w:r>
    </w:p>
    <w:p>
      <w:r>
        <w:t>{</w:t>
        <w:br/>
        <w:t xml:space="preserve">  "intent": "ranking",</w:t>
        <w:br/>
        <w:t xml:space="preserve">  "operations": [</w:t>
        <w:br/>
        <w:t xml:space="preserve">    {"type": "metric", "value": "revenue"},</w:t>
        <w:br/>
        <w:t xml:space="preserve">    {"type": "group_by", "value": "grade"},</w:t>
        <w:br/>
        <w:t xml:space="preserve">    {"type": "time_filter", "value": "this_year"},</w:t>
        <w:br/>
        <w:t xml:space="preserve">    {"type": "sort", "direction": "desc"},</w:t>
        <w:br/>
        <w:t xml:space="preserve">    {"type": "limit", "value": 10}</w:t>
        <w:br/>
        <w:t xml:space="preserve">  ]</w:t>
        <w:br/>
        <w:t>}</w:t>
      </w:r>
    </w:p>
    <w:p>
      <w:r>
        <w:t>Important separation: Intent does NOT contain physical tables, columns, JOINs, or database-specific SQL.</w:t>
      </w:r>
    </w:p>
    <w:p>
      <w:pPr>
        <w:pStyle w:val="Heading1"/>
      </w:pPr>
      <w:r>
        <w:t>4. Component 3 — KB Grounding</w:t>
      </w:r>
    </w:p>
    <w:p>
      <w:r>
        <w:t>Purpose: resolve the concepts from IntentSpec against the existing Knowledge Base.</w:t>
      </w:r>
    </w:p>
    <w:p>
      <w:pPr>
        <w:pStyle w:val="ListBullet"/>
      </w:pPr>
      <w:r>
        <w:t>Schema KB</w:t>
      </w:r>
    </w:p>
    <w:p>
      <w:pPr>
        <w:pStyle w:val="ListBullet"/>
      </w:pPr>
      <w:r>
        <w:t>Semantic KB</w:t>
      </w:r>
    </w:p>
    <w:p>
      <w:pPr>
        <w:pStyle w:val="ListBullet"/>
      </w:pPr>
      <w:r>
        <w:t>Example KB</w:t>
      </w:r>
    </w:p>
    <w:p>
      <w:pPr>
        <w:pStyle w:val="ListBullet"/>
      </w:pPr>
      <w:r>
        <w:t>Relationship information</w:t>
      </w:r>
    </w:p>
    <w:p>
      <w:pPr>
        <w:pStyle w:val="ListBullet"/>
      </w:pPr>
      <w:r>
        <w:t>Business knowledge</w:t>
      </w:r>
    </w:p>
    <w:p>
      <w:pPr>
        <w:pStyle w:val="ListBullet"/>
      </w:pPr>
      <w:r>
        <w:t>Metric definitions</w:t>
      </w:r>
    </w:p>
    <w:p>
      <w:pPr>
        <w:pStyle w:val="ListBullet"/>
      </w:pPr>
      <w:r>
        <w:t>Column mappings</w:t>
      </w:r>
    </w:p>
    <w:p>
      <w:pPr>
        <w:pStyle w:val="ListBullet"/>
      </w:pPr>
      <w:r>
        <w:t>Synonyms</w:t>
      </w:r>
    </w:p>
    <w:p>
      <w:pPr>
        <w:pStyle w:val="ListBullet"/>
      </w:pPr>
      <w:r>
        <w:t>Rules / Guardrails</w:t>
      </w:r>
    </w:p>
    <w:p>
      <w:r>
        <w:t>Recommended retrieval:</w:t>
      </w:r>
    </w:p>
    <w:p>
      <w:r>
        <w:t>IntentSpec + NormalizedQuestion → BM25 + Vector Retrieval → Rules → Reranking → GroundedContext</w:t>
      </w:r>
    </w:p>
    <w:p>
      <w:r>
        <w:t>Example:</w:t>
      </w:r>
    </w:p>
    <w:p>
      <w:r>
        <w:t>revenue → Metric Definition → SUM(public_academic_bag.net_price)</w:t>
      </w:r>
    </w:p>
    <w:p>
      <w:r>
        <w:t>grade → Semantic Mapping → public_grades_master.name</w:t>
      </w:r>
    </w:p>
    <w:p>
      <w:r>
        <w:t>grade ↔ revenue → Relationship KB → valid JOIN path</w:t>
      </w:r>
    </w:p>
    <w:p>
      <w:pPr>
        <w:pStyle w:val="Heading1"/>
      </w:pPr>
      <w:r>
        <w:t>5. Component 4 — Query IR Generator</w:t>
      </w:r>
    </w:p>
    <w:p>
      <w:r>
        <w:t>Purpose: convert grounded information into a structured intermediate representation. SQL is not generated at this stage.</w:t>
      </w:r>
    </w:p>
    <w:p>
      <w:r>
        <w:t>Conceptual structure:</w:t>
      </w:r>
    </w:p>
    <w:p>
      <w:r>
        <w:t>QueryIR(</w:t>
        <w:br/>
        <w:t xml:space="preserve">  source=...,</w:t>
        <w:br/>
        <w:t xml:space="preserve">  joins=[...],</w:t>
        <w:br/>
        <w:t xml:space="preserve">  filters=[...],</w:t>
        <w:br/>
        <w:t xml:space="preserve">  dimensions=[...],</w:t>
        <w:br/>
        <w:t xml:space="preserve">  measures=[...],</w:t>
        <w:br/>
        <w:t xml:space="preserve">  group_by=[...],</w:t>
        <w:br/>
        <w:t xml:space="preserve">  order_by=[...],</w:t>
        <w:br/>
        <w:t xml:space="preserve">  limit=10</w:t>
        <w:br/>
        <w:t>)</w:t>
      </w:r>
    </w:p>
    <w:p>
      <w:r>
        <w:t>IR validation:</w:t>
      </w:r>
    </w:p>
    <w:p>
      <w:pPr>
        <w:pStyle w:val="ListBullet"/>
      </w:pPr>
      <w:r>
        <w:t>Table and column existence</w:t>
      </w:r>
    </w:p>
    <w:p>
      <w:pPr>
        <w:pStyle w:val="ListBullet"/>
      </w:pPr>
      <w:r>
        <w:t>Valid JOIN paths</w:t>
      </w:r>
    </w:p>
    <w:p>
      <w:pPr>
        <w:pStyle w:val="ListBullet"/>
      </w:pPr>
      <w:r>
        <w:t>Aggregation validity</w:t>
      </w:r>
    </w:p>
    <w:p>
      <w:pPr>
        <w:pStyle w:val="ListBullet"/>
      </w:pPr>
      <w:r>
        <w:t>GROUP BY consistency</w:t>
      </w:r>
    </w:p>
    <w:p>
      <w:pPr>
        <w:pStyle w:val="ListBullet"/>
      </w:pPr>
      <w:r>
        <w:t>Metric validity</w:t>
      </w:r>
    </w:p>
    <w:p>
      <w:pPr>
        <w:pStyle w:val="ListBullet"/>
      </w:pPr>
      <w:r>
        <w:t>Filter datatype compatibility</w:t>
      </w:r>
    </w:p>
    <w:p>
      <w:pPr>
        <w:pStyle w:val="ListBullet"/>
      </w:pPr>
      <w:r>
        <w:t>Business-rule compliance</w:t>
      </w:r>
    </w:p>
    <w:p>
      <w:pPr>
        <w:pStyle w:val="Heading1"/>
      </w:pPr>
      <w:r>
        <w:t>6. Component 5 — SQL Builder</w:t>
      </w:r>
    </w:p>
    <w:p>
      <w:r>
        <w:t>Purpose: deterministically convert the validated QueryIR into SQL using SQLGlot.</w:t>
      </w:r>
    </w:p>
    <w:p>
      <w:r>
        <w:t>QueryIR → SQLGlot AST → SQL</w:t>
      </w:r>
    </w:p>
    <w:p>
      <w:r>
        <w:t>No LLM is required for SQL construction.</w:t>
      </w:r>
    </w:p>
    <w:p>
      <w:pPr>
        <w:pStyle w:val="ListBullet"/>
      </w:pPr>
      <w:r>
        <w:t>No table hallucination</w:t>
      </w:r>
    </w:p>
    <w:p>
      <w:pPr>
        <w:pStyle w:val="ListBullet"/>
      </w:pPr>
      <w:r>
        <w:t>No column hallucination</w:t>
      </w:r>
    </w:p>
    <w:p>
      <w:pPr>
        <w:pStyle w:val="ListBullet"/>
      </w:pPr>
      <w:r>
        <w:t>No prompt-based SQL generation</w:t>
      </w:r>
    </w:p>
    <w:p>
      <w:pPr>
        <w:pStyle w:val="ListBullet"/>
      </w:pPr>
      <w:r>
        <w:t>Controlled SQL dialect</w:t>
      </w:r>
    </w:p>
    <w:p>
      <w:pPr>
        <w:pStyle w:val="ListBullet"/>
      </w:pPr>
      <w:r>
        <w:t>Reproducible output</w:t>
      </w:r>
    </w:p>
    <w:p>
      <w:pPr>
        <w:pStyle w:val="Heading1"/>
      </w:pPr>
      <w:r>
        <w:t>7. Component 6 — SQL Validator</w:t>
      </w:r>
    </w:p>
    <w:p>
      <w:r>
        <w:t>Purpose: validate the generated SQL before execution.</w:t>
      </w:r>
    </w:p>
    <w:p>
      <w:pPr>
        <w:pStyle w:val="ListBullet"/>
      </w:pPr>
      <w:r>
        <w:t>SQL parsing</w:t>
      </w:r>
    </w:p>
    <w:p>
      <w:pPr>
        <w:pStyle w:val="ListBullet"/>
      </w:pPr>
      <w:r>
        <w:t>Schema validation</w:t>
      </w:r>
    </w:p>
    <w:p>
      <w:pPr>
        <w:pStyle w:val="ListBullet"/>
      </w:pPr>
      <w:r>
        <w:t>Safety validation</w:t>
      </w:r>
    </w:p>
    <w:p>
      <w:pPr>
        <w:pStyle w:val="ListBullet"/>
      </w:pPr>
      <w:r>
        <w:t>Business-rule validation</w:t>
      </w:r>
    </w:p>
    <w:p>
      <w:pPr>
        <w:pStyle w:val="ListBullet"/>
      </w:pPr>
      <w:r>
        <w:t>Execution validation</w:t>
      </w:r>
    </w:p>
    <w:p>
      <w:r>
        <w:t>If execution fails: classify the error deterministically → repair IR when possible → regenerate SQL. Use an LLM only when the failure requires unresolved semantic reasoning.</w:t>
      </w:r>
    </w:p>
    <w:p>
      <w:pPr>
        <w:pStyle w:val="Heading1"/>
      </w:pPr>
      <w:r>
        <w:t>8. Conditional LLM Usage</w:t>
      </w:r>
    </w:p>
    <w:p>
      <w:r>
        <w:t>The LLM is a fallback reasoning component, not the brain of the complete system.</w:t>
      </w:r>
    </w:p>
    <w:p>
      <w:pPr>
        <w:pStyle w:val="ListBullet"/>
      </w:pPr>
      <w:r>
        <w:rPr>
          <w:b/>
        </w:rPr>
        <w:t xml:space="preserve">Normal Path: </w:t>
      </w:r>
      <w:r>
        <w:t>Question → Normalizer → Intent → KB → IR → SQLGlot → SQL</w:t>
      </w:r>
    </w:p>
    <w:p>
      <w:pPr>
        <w:pStyle w:val="ListBullet"/>
      </w:pPr>
      <w:r>
        <w:rPr>
          <w:b/>
        </w:rPr>
        <w:t xml:space="preserve">Ambiguous Language: </w:t>
      </w:r>
      <w:r>
        <w:t>Normalizer → uncertainty → LLM → normalized representation</w:t>
      </w:r>
    </w:p>
    <w:p>
      <w:pPr>
        <w:pStyle w:val="ListBullet"/>
      </w:pPr>
      <w:r>
        <w:rPr>
          <w:b/>
        </w:rPr>
        <w:t xml:space="preserve">Low-Confidence Grounding: </w:t>
      </w:r>
      <w:r>
        <w:t>KB retrieval → low confidence → LLM semantic resolver → GroundedContext</w:t>
      </w:r>
    </w:p>
    <w:p>
      <w:pPr>
        <w:pStyle w:val="ListBullet"/>
      </w:pPr>
      <w:r>
        <w:rPr>
          <w:b/>
        </w:rPr>
        <w:t xml:space="preserve">Execution Failure: </w:t>
      </w:r>
      <w:r>
        <w:t>SQL → DB error → deterministic repair → LLM only if unresolved</w:t>
      </w:r>
    </w:p>
    <w:p>
      <w:pPr>
        <w:pStyle w:val="Heading1"/>
      </w:pPr>
      <w:r>
        <w:t>9. Confidence-Based Control</w:t>
      </w:r>
    </w:p>
    <w:tbl>
      <w:tblPr>
        <w:tblStyle w:val="TableGrid"/>
        <w:tblW w:type="auto" w:w="0"/>
        <w:tblLook w:firstColumn="1" w:firstRow="1" w:lastColumn="0" w:lastRow="0" w:noHBand="0" w:noVBand="1" w:val="04A0"/>
      </w:tblPr>
      <w:tblGrid>
        <w:gridCol w:w="3408"/>
        <w:gridCol w:w="3408"/>
        <w:gridCol w:w="3408"/>
      </w:tblGrid>
      <w:tr>
        <w:tc>
          <w:tcPr>
            <w:tcW w:type="dxa" w:w="3408"/>
          </w:tcPr>
          <w:p>
            <w:r>
              <w:t>Confidence</w:t>
            </w:r>
          </w:p>
        </w:tc>
        <w:tc>
          <w:tcPr>
            <w:tcW w:type="dxa" w:w="3408"/>
          </w:tcPr>
          <w:p>
            <w:r>
              <w:t>Action</w:t>
            </w:r>
          </w:p>
        </w:tc>
        <w:tc>
          <w:tcPr>
            <w:tcW w:type="dxa" w:w="3408"/>
          </w:tcPr>
          <w:p>
            <w:r>
              <w:t>Goal</w:t>
            </w:r>
          </w:p>
        </w:tc>
      </w:tr>
      <w:tr>
        <w:tc>
          <w:tcPr>
            <w:tcW w:type="dxa" w:w="3408"/>
          </w:tcPr>
          <w:p>
            <w:r>
              <w:t>≥ 0.90</w:t>
            </w:r>
          </w:p>
        </w:tc>
        <w:tc>
          <w:tcPr>
            <w:tcW w:type="dxa" w:w="3408"/>
          </w:tcPr>
          <w:p>
            <w:r>
              <w:t>Continue</w:t>
            </w:r>
          </w:p>
        </w:tc>
        <w:tc>
          <w:tcPr>
            <w:tcW w:type="dxa" w:w="3408"/>
          </w:tcPr>
          <w:p>
            <w:r>
              <w:t>High-confidence result</w:t>
            </w:r>
          </w:p>
        </w:tc>
      </w:tr>
      <w:tr>
        <w:tc>
          <w:tcPr>
            <w:tcW w:type="dxa" w:w="3408"/>
          </w:tcPr>
          <w:p>
            <w:r>
              <w:t>0.70–0.90</w:t>
            </w:r>
          </w:p>
        </w:tc>
        <w:tc>
          <w:tcPr>
            <w:tcW w:type="dxa" w:w="3408"/>
          </w:tcPr>
          <w:p>
            <w:r>
              <w:t>Retrieve / rerank</w:t>
            </w:r>
          </w:p>
        </w:tc>
        <w:tc>
          <w:tcPr>
            <w:tcW w:type="dxa" w:w="3408"/>
          </w:tcPr>
          <w:p>
            <w:r>
              <w:t>Resolve uncertainty without immediate LLM use</w:t>
            </w:r>
          </w:p>
        </w:tc>
      </w:tr>
      <w:tr>
        <w:tc>
          <w:tcPr>
            <w:tcW w:type="dxa" w:w="3408"/>
          </w:tcPr>
          <w:p>
            <w:r>
              <w:t>&lt; 0.70</w:t>
            </w:r>
          </w:p>
        </w:tc>
        <w:tc>
          <w:tcPr>
            <w:tcW w:type="dxa" w:w="3408"/>
          </w:tcPr>
          <w:p>
            <w:r>
              <w:t>LLM fallback / clarification</w:t>
            </w:r>
          </w:p>
        </w:tc>
        <w:tc>
          <w:tcPr>
            <w:tcW w:type="dxa" w:w="3408"/>
          </w:tcPr>
          <w:p>
            <w:r>
              <w:t>Use reasoning when deterministic methods are insufficient</w:t>
            </w:r>
          </w:p>
        </w:tc>
      </w:tr>
    </w:tbl>
    <w:p>
      <w:pPr>
        <w:pStyle w:val="Heading1"/>
      </w:pPr>
      <w:r>
        <w:t>10. Why This Architecture?</w:t>
      </w:r>
    </w:p>
    <w:p>
      <w:pPr>
        <w:pStyle w:val="ListBullet"/>
      </w:pPr>
      <w:r>
        <w:t>Minimum practical dependency on LLMs</w:t>
      </w:r>
    </w:p>
    <w:p>
      <w:pPr>
        <w:pStyle w:val="ListBullet"/>
      </w:pPr>
      <w:r>
        <w:t>Knowledge Base remains the semantic source of truth</w:t>
      </w:r>
    </w:p>
    <w:p>
      <w:pPr>
        <w:pStyle w:val="ListBullet"/>
      </w:pPr>
      <w:r>
        <w:t>Deterministic and reproducible SQL generation</w:t>
      </w:r>
    </w:p>
    <w:p>
      <w:pPr>
        <w:pStyle w:val="ListBullet"/>
      </w:pPr>
      <w:r>
        <w:t>Clear separation of language understanding, grounding and SQL construction</w:t>
      </w:r>
    </w:p>
    <w:p>
      <w:pPr>
        <w:pStyle w:val="ListBullet"/>
      </w:pPr>
      <w:r>
        <w:t>Lower risk of hallucinated schema objects</w:t>
      </w:r>
    </w:p>
    <w:p>
      <w:pPr>
        <w:pStyle w:val="ListBullet"/>
      </w:pPr>
      <w:r>
        <w:t>Independent testing of every pipeline stage</w:t>
      </w:r>
    </w:p>
    <w:p>
      <w:pPr>
        <w:pStyle w:val="ListBullet"/>
      </w:pPr>
      <w:r>
        <w:t>Better debugging and observability</w:t>
      </w:r>
    </w:p>
    <w:p>
      <w:pPr>
        <w:pStyle w:val="ListBullet"/>
      </w:pPr>
      <w:r>
        <w:t>Easier benchmarking across a large question set</w:t>
      </w:r>
    </w:p>
    <w:p>
      <w:pPr>
        <w:pStyle w:val="Heading1"/>
      </w:pPr>
      <w:r>
        <w:t>11. End-to-End Example</w:t>
      </w:r>
    </w:p>
    <w:tbl>
      <w:tblPr>
        <w:tblStyle w:val="TableGrid"/>
        <w:tblW w:type="auto" w:w="0"/>
        <w:tblLook w:firstColumn="1" w:firstRow="1" w:lastColumn="0" w:lastRow="0" w:noHBand="0" w:noVBand="1" w:val="04A0"/>
      </w:tblPr>
      <w:tblGrid>
        <w:gridCol w:w="5112"/>
        <w:gridCol w:w="5112"/>
      </w:tblGrid>
      <w:tr>
        <w:tc>
          <w:tcPr>
            <w:tcW w:type="dxa" w:w="5112"/>
          </w:tcPr>
          <w:p>
            <w:r>
              <w:t>Component</w:t>
            </w:r>
          </w:p>
        </w:tc>
        <w:tc>
          <w:tcPr>
            <w:tcW w:type="dxa" w:w="5112"/>
          </w:tcPr>
          <w:p>
            <w:r>
              <w:t>Result</w:t>
            </w:r>
          </w:p>
        </w:tc>
      </w:tr>
      <w:tr>
        <w:tc>
          <w:tcPr>
            <w:tcW w:type="dxa" w:w="5112"/>
          </w:tcPr>
          <w:p>
            <w:r>
              <w:t>User</w:t>
            </w:r>
          </w:p>
        </w:tc>
        <w:tc>
          <w:tcPr>
            <w:tcW w:type="dxa" w:w="5112"/>
          </w:tcPr>
          <w:p>
            <w:r>
              <w:t>What are the top 10 grades by revenue this year?</w:t>
            </w:r>
          </w:p>
        </w:tc>
      </w:tr>
      <w:tr>
        <w:tc>
          <w:tcPr>
            <w:tcW w:type="dxa" w:w="5112"/>
          </w:tcPr>
          <w:p>
            <w:r>
              <w:t>Normalization</w:t>
            </w:r>
          </w:p>
        </w:tc>
        <w:tc>
          <w:tcPr>
            <w:tcW w:type="dxa" w:w="5112"/>
          </w:tcPr>
          <w:p>
            <w:r>
              <w:t>Canonical question + concepts: grade, revenue, this year</w:t>
            </w:r>
          </w:p>
        </w:tc>
      </w:tr>
      <w:tr>
        <w:tc>
          <w:tcPr>
            <w:tcW w:type="dxa" w:w="5112"/>
          </w:tcPr>
          <w:p>
            <w:r>
              <w:t>Intent</w:t>
            </w:r>
          </w:p>
        </w:tc>
        <w:tc>
          <w:tcPr>
            <w:tcW w:type="dxa" w:w="5112"/>
          </w:tcPr>
          <w:p>
            <w:r>
              <w:t>Ranking + metric + group_by + time_filter + sort + limit</w:t>
            </w:r>
          </w:p>
        </w:tc>
      </w:tr>
      <w:tr>
        <w:tc>
          <w:tcPr>
            <w:tcW w:type="dxa" w:w="5112"/>
          </w:tcPr>
          <w:p>
            <w:r>
              <w:t>Grounding</w:t>
            </w:r>
          </w:p>
        </w:tc>
        <w:tc>
          <w:tcPr>
            <w:tcW w:type="dxa" w:w="5112"/>
          </w:tcPr>
          <w:p>
            <w:r>
              <w:t>Resolve metric, dimension, date semantics and JOIN path from KB</w:t>
            </w:r>
          </w:p>
        </w:tc>
      </w:tr>
      <w:tr>
        <w:tc>
          <w:tcPr>
            <w:tcW w:type="dxa" w:w="5112"/>
          </w:tcPr>
          <w:p>
            <w:r>
              <w:t>IR</w:t>
            </w:r>
          </w:p>
        </w:tc>
        <w:tc>
          <w:tcPr>
            <w:tcW w:type="dxa" w:w="5112"/>
          </w:tcPr>
          <w:p>
            <w:r>
              <w:t>Build source, joins, filters, measures, grouping and ordering</w:t>
            </w:r>
          </w:p>
        </w:tc>
      </w:tr>
      <w:tr>
        <w:tc>
          <w:tcPr>
            <w:tcW w:type="dxa" w:w="5112"/>
          </w:tcPr>
          <w:p>
            <w:r>
              <w:t>SQL Builder</w:t>
            </w:r>
          </w:p>
        </w:tc>
        <w:tc>
          <w:tcPr>
            <w:tcW w:type="dxa" w:w="5112"/>
          </w:tcPr>
          <w:p>
            <w:r>
              <w:t>Convert QueryIR into SQLGlot AST and SQL</w:t>
            </w:r>
          </w:p>
        </w:tc>
      </w:tr>
      <w:tr>
        <w:tc>
          <w:tcPr>
            <w:tcW w:type="dxa" w:w="5112"/>
          </w:tcPr>
          <w:p>
            <w:r>
              <w:t>Validation</w:t>
            </w:r>
          </w:p>
        </w:tc>
        <w:tc>
          <w:tcPr>
            <w:tcW w:type="dxa" w:w="5112"/>
          </w:tcPr>
          <w:p>
            <w:r>
              <w:t>Parse, schema-check, safety-check and execute</w:t>
            </w:r>
          </w:p>
        </w:tc>
      </w:tr>
    </w:tbl>
    <w:p>
      <w:pPr>
        <w:pStyle w:val="Heading1"/>
      </w:pPr>
      <w:r>
        <w:t>12. Final Architecture</w:t>
      </w:r>
    </w:p>
    <w:p>
      <w:pPr>
        <w:jc w:val="center"/>
      </w:pPr>
      <w:r>
        <w:rPr>
          <w:b/>
        </w:rPr>
        <w:t>USER</w:t>
        <w:br/>
        <w:t xml:space="preserve">  ↓</w:t>
        <w:br/>
        <w:t>NORMALIZATION</w:t>
        <w:br/>
        <w:t xml:space="preserve">  ↓</w:t>
        <w:br/>
        <w:t>INTENT</w:t>
        <w:br/>
        <w:t xml:space="preserve">  ↓</w:t>
        <w:br/>
        <w:t>SEMANTIC KB + SCHEMA KB + RELATIONSHIPS + BUSINESS RULES</w:t>
        <w:br/>
        <w:t xml:space="preserve">  ↓</w:t>
        <w:br/>
        <w:t>QUERY IR</w:t>
        <w:br/>
        <w:t xml:space="preserve">  ↓</w:t>
        <w:br/>
        <w:t>SQLGLOT</w:t>
        <w:br/>
        <w:t xml:space="preserve">  ↓</w:t>
        <w:br/>
        <w:t>SQL VALIDATION</w:t>
        <w:br/>
        <w:t xml:space="preserve">  ↓</w:t>
        <w:br/>
        <w:t>DATABASE</w:t>
      </w:r>
    </w:p>
    <w:p>
      <w:r>
        <w:br w:type="page"/>
      </w:r>
    </w:p>
    <w:p>
      <w:pPr>
        <w:pStyle w:val="Heading1"/>
      </w:pPr>
      <w:r>
        <w:t>13. Detailed Walkthrough — One Question Through Every Component</w:t>
      </w:r>
    </w:p>
    <w:p>
      <w:r>
        <w:t>The following example shows how one natural-language question moves through the complete pipeline. The example is intentionally simple enough to explain the architecture, while demonstrating the separation between language understanding, KB grounding, IR construction, and deterministic SQL generation.</w:t>
      </w:r>
    </w:p>
    <w:p>
      <w:pPr>
        <w:pStyle w:val="Heading2"/>
      </w:pPr>
      <w:r>
        <w:t>Example Question</w:t>
      </w:r>
    </w:p>
    <w:p>
      <w:pPr>
        <w:jc w:val="center"/>
      </w:pPr>
      <w:r>
        <w:rPr>
          <w:b/>
          <w:sz w:val="26"/>
        </w:rPr>
        <w:t>"What are the top 10 grades by revenue this year?"</w:t>
      </w:r>
    </w:p>
    <w:p>
      <w:pPr>
        <w:pStyle w:val="Heading2"/>
      </w:pPr>
      <w:r>
        <w:t>Step 1 — User Question</w:t>
      </w:r>
    </w:p>
    <w:p>
      <w:r>
        <w:t>Input:</w:t>
      </w:r>
    </w:p>
    <w:p>
      <w:r>
        <w:t>"What are the top 10 grades by revenue this year?"</w:t>
      </w:r>
    </w:p>
    <w:p>
      <w:r>
        <w:t>At this point the system has only the user's natural-language request. It does not yet assume which tables, columns, metrics, or JOINs are required.</w:t>
      </w:r>
    </w:p>
    <w:p>
      <w:pPr>
        <w:pStyle w:val="Heading2"/>
      </w:pPr>
      <w:r>
        <w:t>Step 2 — Normalization</w:t>
      </w:r>
    </w:p>
    <w:p>
      <w:r>
        <w:t>The normalizer converts the question into a canonical form and identifies useful domain concepts. For a clean question like this, deterministic processing may be sufficient.</w:t>
      </w:r>
    </w:p>
    <w:p>
      <w:r>
        <w:t>Input → Raw user question</w:t>
      </w:r>
    </w:p>
    <w:p>
      <w:r>
        <w:t>Output:</w:t>
      </w:r>
    </w:p>
    <w:p>
      <w:r>
        <w:t>{</w:t>
        <w:br/>
        <w:t xml:space="preserve">  "original_question": "What are the top 10 grades by revenue this year?",</w:t>
        <w:br/>
        <w:t xml:space="preserve">  "normalized_question": "What are the top 10 grades with the highest revenue this year?",</w:t>
        <w:br/>
        <w:t xml:space="preserve">  "concepts": ["grade", "revenue", "this year"]</w:t>
        <w:br/>
        <w:t>}</w:t>
      </w:r>
    </w:p>
    <w:p>
      <w:r>
        <w:t>If the user instead wrote something like 'top 10 grds by revnue this yr', spelling/abbreviation rules could normalize it. An LLM is used only if the deterministic normalizer is uncertain.</w:t>
      </w:r>
    </w:p>
    <w:p>
      <w:pPr>
        <w:pStyle w:val="Heading2"/>
      </w:pPr>
      <w:r>
        <w:t>Step 3 — Intent Engine</w:t>
      </w:r>
    </w:p>
    <w:p>
      <w:r>
        <w:t>The Intent Engine answers: 'What operations does the user want?' It does not answer: 'Which database objects should I use?'</w:t>
      </w:r>
    </w:p>
    <w:p>
      <w:r>
        <w:t>Output:</w:t>
      </w:r>
    </w:p>
    <w:p>
      <w:r>
        <w:t>{</w:t>
        <w:br/>
        <w:t xml:space="preserve">  "intent": "ranking",</w:t>
        <w:br/>
        <w:t xml:space="preserve">  "operations": [</w:t>
        <w:br/>
        <w:t xml:space="preserve">    {"type": "metric", "value": "revenue"},</w:t>
        <w:br/>
        <w:t xml:space="preserve">    {"type": "group_by", "value": "grade"},</w:t>
        <w:br/>
        <w:t xml:space="preserve">    {"type": "time_filter", "value": "this_year"},</w:t>
        <w:br/>
        <w:t xml:space="preserve">    {"type": "sort", "direction": "desc"},</w:t>
        <w:br/>
        <w:t xml:space="preserve">    {"type": "limit", "value": 10}</w:t>
        <w:br/>
        <w:t xml:space="preserve">  ]</w:t>
        <w:br/>
        <w:t>}</w:t>
      </w:r>
    </w:p>
    <w:p>
      <w:r>
        <w:t>The IntentSpec describes the SQL shape: aggregate a metric, group by a dimension, apply a time filter, sort descending, and return 10 rows. It intentionally contains no physical table or column names.</w:t>
      </w:r>
    </w:p>
    <w:p>
      <w:pPr>
        <w:pStyle w:val="Heading2"/>
      </w:pPr>
      <w:r>
        <w:t>Step 4 — KB Grounding</w:t>
      </w:r>
    </w:p>
    <w:p>
      <w:r>
        <w:t>Now the system uses the IntentSpec plus the normalized question to retrieve and resolve information from the KB.</w:t>
      </w:r>
    </w:p>
    <w:p>
      <w:r>
        <w:t>The grounding process can look like:</w:t>
      </w:r>
    </w:p>
    <w:p>
      <w:r>
        <w:t>IntentSpec + NormalizedQuestion</w:t>
        <w:br/>
        <w:t xml:space="preserve">        ↓</w:t>
        <w:br/>
        <w:t>BM25 retrieval + Vector retrieval</w:t>
        <w:br/>
        <w:t xml:space="preserve">        ↓</w:t>
        <w:br/>
        <w:t>Rules / mappings</w:t>
        <w:br/>
        <w:t xml:space="preserve">        ↓</w:t>
        <w:br/>
        <w:t>Reranking</w:t>
        <w:br/>
        <w:t xml:space="preserve">        ↓</w:t>
        <w:br/>
        <w:t>GroundedContext</w:t>
      </w:r>
    </w:p>
    <w:p>
      <w:r>
        <w:t>Example resolutions:</w:t>
      </w:r>
    </w:p>
    <w:p>
      <w:r>
        <w:t>1. 'revenue' → Metric Definition → SUM(public_academic_bag.net_price)</w:t>
      </w:r>
    </w:p>
    <w:p>
      <w:r>
        <w:t>2. 'grade' → Semantic Mapping → public_grades_master.name</w:t>
      </w:r>
    </w:p>
    <w:p>
      <w:r>
        <w:t>3. grade ↔ revenue → Relationship KB → valid JOIN path</w:t>
      </w:r>
    </w:p>
    <w:p>
      <w:r>
        <w:t>4. 'this year' → Date/business rule → appropriate date predicate and source column</w:t>
      </w:r>
    </w:p>
    <w:p>
      <w:r>
        <w:t>The important point is that the KB, not the LLM, determines how the business concept 'revenue' is implemented in this database.</w:t>
      </w:r>
    </w:p>
    <w:p>
      <w:pPr>
        <w:pStyle w:val="Heading2"/>
      </w:pPr>
      <w:r>
        <w:t>Step 5 — Grounded Context</w:t>
      </w:r>
    </w:p>
    <w:p>
      <w:r>
        <w:t>After grounding, the system has enough information to build a query.</w:t>
      </w:r>
    </w:p>
    <w:p>
      <w:r>
        <w:t>Conceptual output:</w:t>
      </w:r>
    </w:p>
    <w:p>
      <w:r>
        <w:t>{</w:t>
        <w:br/>
        <w:t xml:space="preserve">  "metric": {</w:t>
        <w:br/>
        <w:t xml:space="preserve">    "name": "revenue",</w:t>
        <w:br/>
        <w:t xml:space="preserve">    "expression": "SUM(public_academic_bag.net_price)"</w:t>
        <w:br/>
        <w:t xml:space="preserve">  },</w:t>
        <w:br/>
        <w:t xml:space="preserve">  "dimension": {</w:t>
        <w:br/>
        <w:t xml:space="preserve">    "name": "grade",</w:t>
        <w:br/>
        <w:t xml:space="preserve">    "column": "public_grades_master.name"</w:t>
        <w:br/>
        <w:t xml:space="preserve">  },</w:t>
        <w:br/>
        <w:t xml:space="preserve">  "relationships": ["valid grade-to-revenue JOIN path"],</w:t>
        <w:br/>
        <w:t xml:space="preserve">  "filters": ["this_year date predicate"]</w:t>
        <w:br/>
        <w:t>}</w:t>
      </w:r>
    </w:p>
    <w:p>
      <w:r>
        <w:t>This is the point where business meaning has been grounded into database meaning.</w:t>
      </w:r>
    </w:p>
    <w:p>
      <w:pPr>
        <w:pStyle w:val="Heading2"/>
      </w:pPr>
      <w:r>
        <w:t>Step 6 — Query IR Generation</w:t>
      </w:r>
    </w:p>
    <w:p>
      <w:r>
        <w:t>The IR Generator takes the grounded context and constructs a structured query plan. This is still not raw SQL.</w:t>
      </w:r>
    </w:p>
    <w:p>
      <w:r>
        <w:t>Conceptual QueryIR:</w:t>
      </w:r>
    </w:p>
    <w:p>
      <w:r>
        <w:t>SELECT</w:t>
        <w:br/>
        <w:t xml:space="preserve">  dimension = public_grades_master.name</w:t>
        <w:br/>
        <w:t xml:space="preserve">  measure = SUM(public_academic_bag.net_price)</w:t>
        <w:br/>
        <w:br/>
        <w:t>FROM</w:t>
        <w:br/>
        <w:t xml:space="preserve">  grounded source table</w:t>
        <w:br/>
        <w:br/>
        <w:t>JOIN</w:t>
        <w:br/>
        <w:t xml:space="preserve">  grounded valid relationship</w:t>
        <w:br/>
        <w:br/>
        <w:t>WHERE</w:t>
        <w:br/>
        <w:t xml:space="preserve">  grounded this-year predicate</w:t>
        <w:br/>
        <w:br/>
        <w:t>GROUP BY</w:t>
        <w:br/>
        <w:t xml:space="preserve">  public_grades_master.name</w:t>
        <w:br/>
        <w:br/>
        <w:t>ORDER BY</w:t>
        <w:br/>
        <w:t xml:space="preserve">  SUM(public_academic_bag.net_price) DESC</w:t>
        <w:br/>
        <w:br/>
        <w:t>LIMIT</w:t>
        <w:br/>
        <w:t xml:space="preserve">  10</w:t>
      </w:r>
    </w:p>
    <w:p>
      <w:r>
        <w:t>The IR validator can now check whether every table/column exists, the JOIN path is valid, aggregation and GROUP BY are consistent, filters are compatible, and business rules are satisfied.</w:t>
      </w:r>
    </w:p>
    <w:p>
      <w:pPr>
        <w:pStyle w:val="Heading2"/>
      </w:pPr>
      <w:r>
        <w:t>Step 7 — SQL Builder with SQLGlot</w:t>
      </w:r>
    </w:p>
    <w:p>
      <w:r>
        <w:t>Only after the IR passes validation do we build SQL. SQLGlot converts the IR into a SQL AST and renders the target SQL dialect.</w:t>
      </w:r>
    </w:p>
    <w:p>
      <w:r>
        <w:t>Flow:</w:t>
      </w:r>
    </w:p>
    <w:p>
      <w:r>
        <w:t>QueryIR → SQLGlot AST → SQL</w:t>
      </w:r>
    </w:p>
    <w:p>
      <w:r>
        <w:t>The resulting SQL will conceptually look like:</w:t>
      </w:r>
    </w:p>
    <w:p>
      <w:r>
        <w:t>SELECT</w:t>
        <w:br/>
        <w:t xml:space="preserve">    public_grades_master.name AS grade,</w:t>
        <w:br/>
        <w:t xml:space="preserve">    SUM(public_academic_bag.net_price) AS revenue</w:t>
        <w:br/>
        <w:t>FROM ...</w:t>
        <w:br/>
        <w:t>JOIN ... ON ...</w:t>
        <w:br/>
        <w:t>WHERE ...</w:t>
        <w:br/>
        <w:t>GROUP BY public_grades_master.name</w:t>
        <w:br/>
        <w:t>ORDER BY revenue DESC</w:t>
        <w:br/>
        <w:t>LIMIT 10;</w:t>
      </w:r>
    </w:p>
    <w:p>
      <w:r>
        <w:t>The exact FROM, JOIN, and WHERE clauses come from the grounded KB information and QueryIR; they are not invented by an LLM.</w:t>
      </w:r>
    </w:p>
    <w:p>
      <w:pPr>
        <w:pStyle w:val="Heading2"/>
      </w:pPr>
      <w:r>
        <w:t>Step 8 — SQL Validation and Execution</w:t>
      </w:r>
    </w:p>
    <w:p>
      <w:r>
        <w:t>Before execution:</w:t>
      </w:r>
    </w:p>
    <w:p>
      <w:pPr>
        <w:pStyle w:val="ListBullet"/>
      </w:pPr>
      <w:r>
        <w:t>Parse the generated SQL.</w:t>
      </w:r>
    </w:p>
    <w:p>
      <w:pPr>
        <w:pStyle w:val="ListBullet"/>
      </w:pPr>
      <w:r>
        <w:t>Validate referenced schema objects.</w:t>
      </w:r>
    </w:p>
    <w:p>
      <w:pPr>
        <w:pStyle w:val="ListBullet"/>
      </w:pPr>
      <w:r>
        <w:t>Check safety constraints.</w:t>
      </w:r>
    </w:p>
    <w:p>
      <w:pPr>
        <w:pStyle w:val="ListBullet"/>
      </w:pPr>
      <w:r>
        <w:t>Check applicable business rules.</w:t>
      </w:r>
    </w:p>
    <w:p>
      <w:pPr>
        <w:pStyle w:val="ListBullet"/>
      </w:pPr>
      <w:r>
        <w:t>Execute the query.</w:t>
      </w:r>
    </w:p>
    <w:p>
      <w:r>
        <w:t>If execution fails, first classify the error deterministically. If the issue can be fixed by changing the IR or applying a known rule, repair the IR and regenerate SQL. If the issue is genuinely semantic and cannot be resolved deterministically, invoke the LLM as a fallback.</w:t>
      </w:r>
    </w:p>
    <w:p>
      <w:pPr>
        <w:pStyle w:val="Heading2"/>
      </w:pPr>
      <w:r>
        <w:t>Step 9 — Final Result</w:t>
      </w:r>
    </w:p>
    <w:p>
      <w:r>
        <w:t>The database returns the top 10 grades and their revenue values. A downstream response/visualization layer can then present the result to the user.</w:t>
      </w:r>
    </w:p>
    <w:p>
      <w:pPr>
        <w:pStyle w:val="Heading2"/>
      </w:pPr>
      <w:r>
        <w:t>Complete Example Flow</w:t>
      </w:r>
    </w:p>
    <w:p>
      <w:pPr>
        <w:jc w:val="center"/>
      </w:pPr>
      <w:r>
        <w:rPr>
          <w:b/>
        </w:rPr>
        <w:t>User Question</w:t>
        <w:br/>
        <w:t xml:space="preserve">     ↓</w:t>
        <w:br/>
        <w:t>Normalization</w:t>
        <w:br/>
        <w:t xml:space="preserve">     ↓</w:t>
        <w:br/>
        <w:t>NormalizedQuestion</w:t>
        <w:br/>
        <w:t xml:space="preserve">     ↓</w:t>
        <w:br/>
        <w:t>Intent Engine</w:t>
        <w:br/>
        <w:t xml:space="preserve">     ↓</w:t>
        <w:br/>
        <w:t>IntentSpec</w:t>
        <w:br/>
        <w:t xml:space="preserve">     ↓</w:t>
        <w:br/>
        <w:t>KB Grounding</w:t>
        <w:br/>
        <w:t xml:space="preserve">     ↓</w:t>
        <w:br/>
        <w:t>GroundedContext</w:t>
        <w:br/>
        <w:t xml:space="preserve">     ↓</w:t>
        <w:br/>
        <w:t>Query IR + Validation</w:t>
        <w:br/>
        <w:t xml:space="preserve">     ↓</w:t>
        <w:br/>
        <w:t>SQLGlot</w:t>
        <w:br/>
        <w:t xml:space="preserve">     ↓</w:t>
        <w:br/>
        <w:t>SQL + Validation</w:t>
        <w:br/>
        <w:t xml:space="preserve">     ↓</w:t>
        <w:br/>
        <w:t>Database</w:t>
        <w:br/>
        <w:t xml:space="preserve">     ↓</w:t>
        <w:br/>
        <w:t>Final Answer</w:t>
      </w:r>
    </w:p>
    <w:p>
      <w:pPr>
        <w:pStyle w:val="Heading2"/>
      </w:pPr>
      <w:r>
        <w:t>Key Takeaway</w:t>
      </w:r>
    </w:p>
    <w:p>
      <w:r>
        <w:t>The LLM does not need to generate SQL. It is used only where language interpretation or semantic ambiguity cannot be handled confidently by deterministic logic and the KB. The KB supplies the business and database knowledge, QueryIR provides the control layer, and SQLGlot provides deterministic SQL construction.</w:t>
      </w:r>
    </w:p>
    <w:p>
      <w:r>
        <w:br w:type="page"/>
      </w:r>
    </w:p>
    <w:p>
      <w:pPr>
        <w:pStyle w:val="Heading1"/>
      </w:pPr>
      <w:r>
        <w:t>17. IR Generation — Detailed Design</w:t>
      </w:r>
    </w:p>
    <w:p>
      <w:r>
        <w:t>IR (Intermediate Representation) generation is the deterministic bridge between the user's intent and SQL. It should not depend on an LLM. The IR Generator receives two structured inputs: the Intent AST and the Grounded Context.</w:t>
      </w:r>
    </w:p>
    <w:p>
      <w:pPr>
        <w:jc w:val="center"/>
      </w:pPr>
      <w:r>
        <w:rPr>
          <w:b/>
          <w:sz w:val="26"/>
        </w:rPr>
        <w:t>Intent AST  +  Grounded Context</w:t>
        <w:br/>
        <w:t>↓</w:t>
        <w:br/>
        <w:t>IR Generator</w:t>
        <w:br/>
        <w:t>↓</w:t>
        <w:br/>
        <w:t>QueryIR</w:t>
      </w:r>
    </w:p>
    <w:p>
      <w:pPr>
        <w:pStyle w:val="Heading2"/>
      </w:pPr>
      <w:r>
        <w:t>17.1 What the Intent AST Represents</w:t>
      </w:r>
    </w:p>
    <w:p>
      <w:r>
        <w:t>The Intent AST describes what the user wants without containing database-specific implementation details.</w:t>
      </w:r>
    </w:p>
    <w:p>
      <w:r>
        <w:t>Example question: “What are the top 10 grades by revenue this year?”</w:t>
      </w:r>
    </w:p>
    <w:p>
      <w:r>
        <w:t>Intent AST:</w:t>
        <w:br/>
        <w:t>RANKING</w:t>
        <w:br/>
        <w:t>├── metric: revenue</w:t>
        <w:br/>
        <w:t>├── dimension: grade</w:t>
        <w:br/>
        <w:t>├── filter: this_year</w:t>
        <w:br/>
        <w:t>├── order: DESC</w:t>
        <w:br/>
        <w:t>└── limit: 10</w:t>
      </w:r>
    </w:p>
    <w:p>
      <w:pPr>
        <w:pStyle w:val="Heading2"/>
      </w:pPr>
      <w:r>
        <w:t>17.2 What Grounding Provides</w:t>
      </w:r>
    </w:p>
    <w:p>
      <w:r>
        <w:t>The Grounding stage resolves the business concepts in the Intent AST against the Knowledge Base.</w:t>
      </w:r>
    </w:p>
    <w:p>
      <w:r>
        <w:t>Example:</w:t>
        <w:br/>
        <w:t>revenue</w:t>
        <w:br/>
        <w:t xml:space="preserve">    → SUM(public_academic_bag.net_price)</w:t>
        <w:br/>
        <w:br/>
        <w:t>grade</w:t>
        <w:br/>
        <w:t xml:space="preserve">    → public_grades_master.name</w:t>
        <w:br/>
        <w:br/>
        <w:t>relationship</w:t>
        <w:br/>
        <w:t xml:space="preserve">    → academic_bag → enrollment → grade</w:t>
        <w:br/>
        <w:br/>
        <w:t>this_year</w:t>
        <w:br/>
        <w:t xml:space="preserve">    → appropriate date predicate</w:t>
      </w:r>
    </w:p>
    <w:p>
      <w:pPr>
        <w:pStyle w:val="Heading2"/>
      </w:pPr>
      <w:r>
        <w:t>17.3 IR Generator</w:t>
      </w:r>
    </w:p>
    <w:p>
      <w:r>
        <w:t>The IR Generator combines the Intent AST and Grounded Context using deterministic mapping rules. It translates intent operations into executable query structures.</w:t>
      </w:r>
    </w:p>
    <w:p>
      <w:pPr>
        <w:jc w:val="center"/>
      </w:pPr>
      <w:r>
        <w:rPr>
          <w:b/>
        </w:rPr>
        <w:t>Intent AST + Grounded Context</w:t>
        <w:br/>
        <w:t xml:space="preserve">        ↓</w:t>
        <w:br/>
        <w:t xml:space="preserve">    IR Builder</w:t>
        <w:br/>
        <w:t xml:space="preserve">        ↓</w:t>
        <w:br/>
        <w:t>┌──────────────────────────┐</w:t>
        <w:br/>
        <w:t>│ QueryIR                  │</w:t>
        <w:br/>
        <w:t>│                          │</w:t>
        <w:br/>
        <w:t>│ FROM                     │</w:t>
        <w:br/>
        <w:t>│ JOIN                     │</w:t>
        <w:br/>
        <w:t>│ SELECT                   │</w:t>
        <w:br/>
        <w:t>│ FILTER                   │</w:t>
        <w:br/>
        <w:t>│ GROUP BY                 │</w:t>
        <w:br/>
        <w:t>│ ORDER BY                 │</w:t>
        <w:br/>
        <w:t>│ LIMIT                    │</w:t>
        <w:br/>
        <w:t>└──────────────────────────┘</w:t>
      </w:r>
    </w:p>
    <w:p>
      <w:pPr>
        <w:pStyle w:val="Heading2"/>
      </w:pPr>
      <w:r>
        <w:t>17.4 Example QueryIR</w:t>
      </w:r>
    </w:p>
    <w:p>
      <w:r>
        <w:t>{</w:t>
        <w:br/>
        <w:t xml:space="preserve">  "from": "public_academic_bag",</w:t>
        <w:br/>
        <w:br/>
        <w:t xml:space="preserve">  "joins": [</w:t>
        <w:br/>
        <w:t xml:space="preserve">    {</w:t>
        <w:br/>
        <w:t xml:space="preserve">      "table": "public_learner_enrollment",</w:t>
        <w:br/>
        <w:t xml:space="preserve">      "on": "..."</w:t>
        <w:br/>
        <w:t xml:space="preserve">    },</w:t>
        <w:br/>
        <w:t xml:space="preserve">    {</w:t>
        <w:br/>
        <w:t xml:space="preserve">      "table": "public_grades_master",</w:t>
        <w:br/>
        <w:t xml:space="preserve">      "on": "..."</w:t>
        <w:br/>
        <w:t xml:space="preserve">    }</w:t>
        <w:br/>
        <w:t xml:space="preserve">  ],</w:t>
        <w:br/>
        <w:br/>
        <w:t xml:space="preserve">  "select": [</w:t>
        <w:br/>
        <w:t xml:space="preserve">    {</w:t>
        <w:br/>
        <w:t xml:space="preserve">      "expression": "public_grades_master.name",</w:t>
        <w:br/>
        <w:t xml:space="preserve">      "alias": "grade"</w:t>
        <w:br/>
        <w:t xml:space="preserve">    },</w:t>
        <w:br/>
        <w:t xml:space="preserve">    {</w:t>
        <w:br/>
        <w:t xml:space="preserve">      "expression": "SUM(public_academic_bag.net_price)",</w:t>
        <w:br/>
        <w:t xml:space="preserve">      "alias": "revenue"</w:t>
        <w:br/>
        <w:t xml:space="preserve">    }</w:t>
        <w:br/>
        <w:t xml:space="preserve">  ],</w:t>
        <w:br/>
        <w:br/>
        <w:t xml:space="preserve">  "filters": [</w:t>
        <w:br/>
        <w:t xml:space="preserve">    {</w:t>
        <w:br/>
        <w:t xml:space="preserve">      "expression": "...",</w:t>
        <w:br/>
        <w:t xml:space="preserve">      "operator": "...",</w:t>
        <w:br/>
        <w:t xml:space="preserve">      "value": "..."</w:t>
        <w:br/>
        <w:t xml:space="preserve">    }</w:t>
        <w:br/>
        <w:t xml:space="preserve">  ],</w:t>
        <w:br/>
        <w:br/>
        <w:t xml:space="preserve">  "group_by": [</w:t>
        <w:br/>
        <w:t xml:space="preserve">    "public_grades_master.name"</w:t>
        <w:br/>
        <w:t xml:space="preserve">  ],</w:t>
        <w:br/>
        <w:br/>
        <w:t xml:space="preserve">  "order_by": [</w:t>
        <w:br/>
        <w:t xml:space="preserve">    {</w:t>
        <w:br/>
        <w:t xml:space="preserve">      "expression": "revenue",</w:t>
        <w:br/>
        <w:t xml:space="preserve">      "direction": "DESC"</w:t>
        <w:br/>
        <w:t xml:space="preserve">    }</w:t>
        <w:br/>
        <w:t xml:space="preserve">  ],</w:t>
        <w:br/>
        <w:br/>
        <w:t xml:space="preserve">  "limit": 10</w:t>
        <w:br/>
        <w:t>}</w:t>
      </w:r>
    </w:p>
    <w:p>
      <w:pPr>
        <w:pStyle w:val="Heading2"/>
      </w:pPr>
      <w:r>
        <w:t>17.5 Why IR Should Be Deterministic</w:t>
      </w:r>
    </w:p>
    <w:p>
      <w:pPr>
        <w:pStyle w:val="ListBullet"/>
      </w:pPr>
      <w:r>
        <w:t>The Intent AST already describes the required operations.</w:t>
      </w:r>
    </w:p>
    <w:p>
      <w:pPr>
        <w:pStyle w:val="ListBullet"/>
      </w:pPr>
      <w:r>
        <w:t>Grounding has already resolved the concepts into database-specific information.</w:t>
      </w:r>
    </w:p>
    <w:p>
      <w:pPr>
        <w:pStyle w:val="ListBullet"/>
      </w:pPr>
      <w:r>
        <w:t>The IR Generator only needs to combine these two structured inputs.</w:t>
      </w:r>
    </w:p>
    <w:p>
      <w:pPr>
        <w:pStyle w:val="ListBullet"/>
      </w:pPr>
      <w:r>
        <w:t>Deterministic construction makes the query plan reproducible and easier to test.</w:t>
      </w:r>
    </w:p>
    <w:p>
      <w:pPr>
        <w:pStyle w:val="ListBullet"/>
      </w:pPr>
      <w:r>
        <w:t>The IR can be validated before any SQL is generated.</w:t>
      </w:r>
    </w:p>
    <w:p>
      <w:pPr>
        <w:pStyle w:val="ListBullet"/>
      </w:pPr>
      <w:r>
        <w:t>An LLM is therefore unnecessary for normal IR creation.</w:t>
      </w:r>
    </w:p>
    <w:p>
      <w:pPr>
        <w:pStyle w:val="Heading2"/>
      </w:pPr>
      <w:r>
        <w:t>17.6 IR Validation Before SQL</w:t>
      </w:r>
    </w:p>
    <w:p>
      <w:r>
        <w:t>Before passing QueryIR to SQLGlot, validate:</w:t>
      </w:r>
    </w:p>
    <w:p>
      <w:pPr>
        <w:pStyle w:val="ListBullet"/>
      </w:pPr>
      <w:r>
        <w:t>Every referenced table exists.</w:t>
      </w:r>
    </w:p>
    <w:p>
      <w:pPr>
        <w:pStyle w:val="ListBullet"/>
      </w:pPr>
      <w:r>
        <w:t>Every referenced column exists.</w:t>
      </w:r>
    </w:p>
    <w:p>
      <w:pPr>
        <w:pStyle w:val="ListBullet"/>
      </w:pPr>
      <w:r>
        <w:t>The selected metric is valid.</w:t>
      </w:r>
    </w:p>
    <w:p>
      <w:pPr>
        <w:pStyle w:val="ListBullet"/>
      </w:pPr>
      <w:r>
        <w:t>JOIN paths are valid according to the KB.</w:t>
      </w:r>
    </w:p>
    <w:p>
      <w:pPr>
        <w:pStyle w:val="ListBullet"/>
      </w:pPr>
      <w:r>
        <w:t>Aggregations are compatible with GROUP BY.</w:t>
      </w:r>
    </w:p>
    <w:p>
      <w:pPr>
        <w:pStyle w:val="ListBullet"/>
      </w:pPr>
      <w:r>
        <w:t>Filters are compatible with column datatypes.</w:t>
      </w:r>
    </w:p>
    <w:p>
      <w:pPr>
        <w:pStyle w:val="ListBullet"/>
      </w:pPr>
      <w:r>
        <w:t>ORDER BY expressions are valid.</w:t>
      </w:r>
    </w:p>
    <w:p>
      <w:pPr>
        <w:pStyle w:val="ListBullet"/>
      </w:pPr>
      <w:r>
        <w:t>LIMIT/OFFSET values are valid.</w:t>
      </w:r>
    </w:p>
    <w:p>
      <w:pPr>
        <w:pStyle w:val="ListBullet"/>
      </w:pPr>
      <w:r>
        <w:t>Business rules and guardrails are satisfied.</w:t>
      </w:r>
    </w:p>
    <w:p>
      <w:pPr>
        <w:pStyle w:val="Heading2"/>
      </w:pPr>
      <w:r>
        <w:t>17.7 Final Separation of Responsibilities</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Question it answers</w:t>
            </w:r>
          </w:p>
        </w:tc>
        <w:tc>
          <w:tcPr>
            <w:tcW w:type="dxa" w:w="3408"/>
          </w:tcPr>
          <w:p>
            <w:r>
              <w:t>Example</w:t>
            </w:r>
          </w:p>
        </w:tc>
      </w:tr>
      <w:tr>
        <w:tc>
          <w:tcPr>
            <w:tcW w:type="dxa" w:w="3408"/>
          </w:tcPr>
          <w:p>
            <w:r>
              <w:t>Intent</w:t>
            </w:r>
          </w:p>
        </w:tc>
        <w:tc>
          <w:tcPr>
            <w:tcW w:type="dxa" w:w="3408"/>
          </w:tcPr>
          <w:p>
            <w:r>
              <w:t>What does the user want?</w:t>
            </w:r>
          </w:p>
        </w:tc>
        <w:tc>
          <w:tcPr>
            <w:tcW w:type="dxa" w:w="3408"/>
          </w:tcPr>
          <w:p>
            <w:r>
              <w:t>Rank grades by revenue</w:t>
            </w:r>
          </w:p>
        </w:tc>
      </w:tr>
      <w:tr>
        <w:tc>
          <w:tcPr>
            <w:tcW w:type="dxa" w:w="3408"/>
          </w:tcPr>
          <w:p>
            <w:r>
              <w:t>Grounding</w:t>
            </w:r>
          </w:p>
        </w:tc>
        <w:tc>
          <w:tcPr>
            <w:tcW w:type="dxa" w:w="3408"/>
          </w:tcPr>
          <w:p>
            <w:r>
              <w:t>What do those concepts mean in this database?</w:t>
            </w:r>
          </w:p>
        </w:tc>
        <w:tc>
          <w:tcPr>
            <w:tcW w:type="dxa" w:w="3408"/>
          </w:tcPr>
          <w:p>
            <w:r>
              <w:t>revenue → SUM(net_price)</w:t>
            </w:r>
          </w:p>
        </w:tc>
      </w:tr>
      <w:tr>
        <w:tc>
          <w:tcPr>
            <w:tcW w:type="dxa" w:w="3408"/>
          </w:tcPr>
          <w:p>
            <w:r>
              <w:t>IR</w:t>
            </w:r>
          </w:p>
        </w:tc>
        <w:tc>
          <w:tcPr>
            <w:tcW w:type="dxa" w:w="3408"/>
          </w:tcPr>
          <w:p>
            <w:r>
              <w:t>How should the grounded request be structurally executed?</w:t>
            </w:r>
          </w:p>
        </w:tc>
        <w:tc>
          <w:tcPr>
            <w:tcW w:type="dxa" w:w="3408"/>
          </w:tcPr>
          <w:p>
            <w:r>
              <w:t>GROUP BY grade, ORDER BY revenue DESC, LIMIT 10</w:t>
            </w:r>
          </w:p>
        </w:tc>
      </w:tr>
      <w:tr>
        <w:tc>
          <w:tcPr>
            <w:tcW w:type="dxa" w:w="3408"/>
          </w:tcPr>
          <w:p>
            <w:r>
              <w:t>SQLGlot</w:t>
            </w:r>
          </w:p>
        </w:tc>
        <w:tc>
          <w:tcPr>
            <w:tcW w:type="dxa" w:w="3408"/>
          </w:tcPr>
          <w:p>
            <w:r>
              <w:t>How do we express that structure as SQL?</w:t>
            </w:r>
          </w:p>
        </w:tc>
        <w:tc>
          <w:tcPr>
            <w:tcW w:type="dxa" w:w="3408"/>
          </w:tcPr>
          <w:p>
            <w:r>
              <w:t>Generate SQL AST and render SQL</w:t>
            </w:r>
          </w:p>
        </w:tc>
      </w:tr>
    </w:tbl>
    <w:p>
      <w:pPr>
        <w:pStyle w:val="Heading2"/>
      </w:pPr>
      <w:r>
        <w:t>17.8 Overall Flow</w:t>
      </w:r>
    </w:p>
    <w:p>
      <w:pPr>
        <w:jc w:val="center"/>
      </w:pPr>
      <w:r>
        <w:rPr>
          <w:b/>
        </w:rPr>
        <w:t>NORMALIZED QUESTION</w:t>
        <w:br/>
        <w:t xml:space="preserve">        ↓</w:t>
        <w:br/>
        <w:t xml:space="preserve">   INTENT PARSER</w:t>
        <w:br/>
        <w:t xml:space="preserve">        ↓</w:t>
        <w:br/>
        <w:t xml:space="preserve">    Intent AST</w:t>
        <w:br/>
        <w:t xml:space="preserve">        ↓</w:t>
        <w:br/>
        <w:t xml:space="preserve">  KB GROUNDING</w:t>
        <w:br/>
        <w:t xml:space="preserve">        ↓</w:t>
        <w:br/>
        <w:t>Grounded Intent AST</w:t>
        <w:br/>
        <w:t xml:space="preserve">        ↓</w:t>
        <w:br/>
        <w:t xml:space="preserve">   IR GENERATOR</w:t>
        <w:br/>
        <w:t xml:space="preserve">        ↓</w:t>
        <w:br/>
        <w:t xml:space="preserve">      QueryIR</w:t>
        <w:br/>
        <w:t xml:space="preserve">        ↓</w:t>
        <w:br/>
        <w:t xml:space="preserve">   IR VALIDATOR</w:t>
        <w:br/>
        <w:t xml:space="preserve">        ↓</w:t>
        <w:br/>
        <w:t xml:space="preserve">     SQLGLOT</w:t>
        <w:br/>
        <w:t xml:space="preserve">        ↓</w:t>
        <w:br/>
        <w:t xml:space="preserve">       SQL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