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1) The method calculateTax() in the provided TaxUtil class is not a pure function because it is not satisfying Deterministic condition i.e. The same input always produces the same output.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can be made pure by passing rate as a parameter.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2) Output will be:-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super class show method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 class show method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Because the code calls a static method from the outer class and an instance method from a static nested class, producing two separate outputs.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 3) Output will be:-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display 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is because the child class method overrides the parent’s, and this.num accesses the child’s variable, printing the overridden method twice and value 10 twice.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 4) Singleton Design Pattern restricts the instantiation of a class and ensures that only one instance of the class can be created.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3516" cy="17123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516" cy="1712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Answer 5) Encapsulation means hiding the internal details of a class and allowing access only through public methods (getters and setters). This ensures controlled access and protects data.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How to ensure a class is encapsulated: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all data members private.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Provide public getter and setter methods to access and modify the private variables.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14650" cy="762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Answer 6) 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(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https://github.com/harsharora1710/rg-assignments/tree/feature-java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Answer 7) 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(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https://github.com/harsharora1710/rg-assignments/tree/feature-java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rsharora1710/rg-assignments/tree/feature-java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github.com/harsharora1710/rg-assignments/tree/feature-java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