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rPr>
          <w:b/>
          <w:color w:val="2F75B5"/>
          <w:sz w:val="30"/>
        </w:rPr>
        <w:t>SUMLINK</w:t>
      </w:r>
    </w:p>
    <w:p>
      <w:pPr>
        <w:spacing w:before="320" w:after="100"/>
        <w:jc w:val="center"/>
      </w:pPr>
      <w:r>
        <w:rPr>
          <w:rFonts w:ascii="Aptos Display" w:hAnsi="Aptos Display"/>
          <w:b/>
          <w:color w:val="1F4E78"/>
          <w:sz w:val="60"/>
        </w:rPr>
        <w:t>Sumlink Analytics Dashboard</w:t>
      </w:r>
    </w:p>
    <w:p>
      <w:pPr>
        <w:spacing w:after="560"/>
        <w:jc w:val="center"/>
      </w:pPr>
      <w:r>
        <w:rPr>
          <w:color w:val="6B7280"/>
          <w:sz w:val="30"/>
        </w:rPr>
        <w:t>Production Implementation and Validation Report</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Report item</w:t>
            </w:r>
          </w:p>
        </w:tc>
        <w:tc>
          <w:tcPr>
            <w:tcW w:type="dxa" w:w="4986"/>
            <w:shd w:fill="2F75B5"/>
            <w:vAlign w:val="center"/>
            <w:tcMar>
              <w:top w:w="90" w:type="dxa"/>
              <w:start w:w="90" w:type="dxa"/>
              <w:bottom w:w="90" w:type="dxa"/>
              <w:end w:w="90" w:type="dxa"/>
            </w:tcMar>
          </w:tcPr>
          <w:p>
            <w:r>
              <w:rPr>
                <w:b/>
                <w:color w:val="FFFFFF"/>
                <w:sz w:val="19"/>
              </w:rPr>
              <w:t>Details</w:t>
            </w:r>
          </w:p>
        </w:tc>
      </w:tr>
      <w:tr>
        <w:tc>
          <w:tcPr>
            <w:tcW w:type="dxa" w:w="2592"/>
            <w:vAlign w:val="center"/>
            <w:tcMar>
              <w:top w:w="90" w:type="dxa"/>
              <w:start w:w="90" w:type="dxa"/>
              <w:bottom w:w="90" w:type="dxa"/>
              <w:end w:w="90" w:type="dxa"/>
            </w:tcMar>
          </w:tcPr>
          <w:p>
            <w:r>
              <w:rPr>
                <w:sz w:val="18"/>
              </w:rPr>
              <w:t>Prepared for</w:t>
            </w:r>
          </w:p>
        </w:tc>
        <w:tc>
          <w:tcPr>
            <w:tcW w:type="dxa" w:w="6624"/>
            <w:vAlign w:val="center"/>
            <w:tcMar>
              <w:top w:w="90" w:type="dxa"/>
              <w:start w:w="90" w:type="dxa"/>
              <w:bottom w:w="90" w:type="dxa"/>
              <w:end w:w="90" w:type="dxa"/>
            </w:tcMar>
          </w:tcPr>
          <w:p>
            <w:r>
              <w:rPr>
                <w:sz w:val="18"/>
              </w:rPr>
              <w:t>Management Review</w:t>
            </w:r>
          </w:p>
        </w:tc>
      </w:tr>
      <w:tr>
        <w:tc>
          <w:tcPr>
            <w:tcW w:type="dxa" w:w="2592"/>
            <w:vAlign w:val="center"/>
            <w:tcMar>
              <w:top w:w="90" w:type="dxa"/>
              <w:start w:w="90" w:type="dxa"/>
              <w:bottom w:w="90" w:type="dxa"/>
              <w:end w:w="90" w:type="dxa"/>
            </w:tcMar>
            <w:shd w:fill="F4F7FA"/>
          </w:tcPr>
          <w:p>
            <w:r>
              <w:rPr>
                <w:sz w:val="18"/>
              </w:rPr>
              <w:t>Prepared by</w:t>
            </w:r>
          </w:p>
        </w:tc>
        <w:tc>
          <w:tcPr>
            <w:tcW w:type="dxa" w:w="6624"/>
            <w:vAlign w:val="center"/>
            <w:tcMar>
              <w:top w:w="90" w:type="dxa"/>
              <w:start w:w="90" w:type="dxa"/>
              <w:bottom w:w="90" w:type="dxa"/>
              <w:end w:w="90" w:type="dxa"/>
            </w:tcMar>
            <w:shd w:fill="F4F7FA"/>
          </w:tcPr>
          <w:p>
            <w:r>
              <w:rPr>
                <w:sz w:val="18"/>
              </w:rPr>
              <w:t>Harsha S</w:t>
            </w:r>
          </w:p>
        </w:tc>
      </w:tr>
      <w:tr>
        <w:tc>
          <w:tcPr>
            <w:tcW w:type="dxa" w:w="2592"/>
            <w:vAlign w:val="center"/>
            <w:tcMar>
              <w:top w:w="90" w:type="dxa"/>
              <w:start w:w="90" w:type="dxa"/>
              <w:bottom w:w="90" w:type="dxa"/>
              <w:end w:w="90" w:type="dxa"/>
            </w:tcMar>
          </w:tcPr>
          <w:p>
            <w:r>
              <w:rPr>
                <w:sz w:val="18"/>
              </w:rPr>
              <w:t>Report date</w:t>
            </w:r>
          </w:p>
        </w:tc>
        <w:tc>
          <w:tcPr>
            <w:tcW w:type="dxa" w:w="6624"/>
            <w:vAlign w:val="center"/>
            <w:tcMar>
              <w:top w:w="90" w:type="dxa"/>
              <w:start w:w="90" w:type="dxa"/>
              <w:bottom w:w="90" w:type="dxa"/>
              <w:end w:w="90" w:type="dxa"/>
            </w:tcMar>
          </w:tcPr>
          <w:p>
            <w:r>
              <w:rPr>
                <w:sz w:val="18"/>
              </w:rPr>
              <w:t>17 August 2026</w:t>
            </w:r>
          </w:p>
        </w:tc>
      </w:tr>
      <w:tr>
        <w:tc>
          <w:tcPr>
            <w:tcW w:type="dxa" w:w="2592"/>
            <w:vAlign w:val="center"/>
            <w:tcMar>
              <w:top w:w="90" w:type="dxa"/>
              <w:start w:w="90" w:type="dxa"/>
              <w:bottom w:w="90" w:type="dxa"/>
              <w:end w:w="90" w:type="dxa"/>
            </w:tcMar>
            <w:shd w:fill="F4F7FA"/>
          </w:tcPr>
          <w:p>
            <w:r>
              <w:rPr>
                <w:sz w:val="18"/>
              </w:rPr>
              <w:t>GA4 property</w:t>
            </w:r>
          </w:p>
        </w:tc>
        <w:tc>
          <w:tcPr>
            <w:tcW w:type="dxa" w:w="6624"/>
            <w:vAlign w:val="center"/>
            <w:tcMar>
              <w:top w:w="90" w:type="dxa"/>
              <w:start w:w="90" w:type="dxa"/>
              <w:bottom w:w="90" w:type="dxa"/>
              <w:end w:w="90" w:type="dxa"/>
            </w:tcMar>
            <w:shd w:fill="F4F7FA"/>
          </w:tcPr>
          <w:p>
            <w:r>
              <w:rPr>
                <w:sz w:val="18"/>
              </w:rPr>
              <w:t>516899630</w:t>
            </w:r>
          </w:p>
        </w:tc>
      </w:tr>
      <w:tr>
        <w:tc>
          <w:tcPr>
            <w:tcW w:type="dxa" w:w="2592"/>
            <w:vAlign w:val="center"/>
            <w:tcMar>
              <w:top w:w="90" w:type="dxa"/>
              <w:start w:w="90" w:type="dxa"/>
              <w:bottom w:w="90" w:type="dxa"/>
              <w:end w:w="90" w:type="dxa"/>
            </w:tcMar>
          </w:tcPr>
          <w:p>
            <w:r>
              <w:rPr>
                <w:sz w:val="18"/>
              </w:rPr>
              <w:t>Dashboard</w:t>
            </w:r>
          </w:p>
        </w:tc>
        <w:tc>
          <w:tcPr>
            <w:tcW w:type="dxa" w:w="6624"/>
            <w:vAlign w:val="center"/>
            <w:tcMar>
              <w:top w:w="90" w:type="dxa"/>
              <w:start w:w="90" w:type="dxa"/>
              <w:bottom w:w="90" w:type="dxa"/>
              <w:end w:w="90" w:type="dxa"/>
            </w:tcMar>
          </w:tcPr>
          <w:p>
            <w:r>
              <w:rPr>
                <w:sz w:val="18"/>
              </w:rPr>
              <w:t>Appsmith Cloud</w:t>
            </w:r>
          </w:p>
        </w:tc>
      </w:tr>
      <w:tr>
        <w:tc>
          <w:tcPr>
            <w:tcW w:type="dxa" w:w="2592"/>
            <w:vAlign w:val="center"/>
            <w:tcMar>
              <w:top w:w="90" w:type="dxa"/>
              <w:start w:w="90" w:type="dxa"/>
              <w:bottom w:w="90" w:type="dxa"/>
              <w:end w:w="90" w:type="dxa"/>
            </w:tcMar>
            <w:shd w:fill="F4F7FA"/>
          </w:tcPr>
          <w:p>
            <w:r>
              <w:rPr>
                <w:sz w:val="18"/>
              </w:rPr>
              <w:t>Backend</w:t>
            </w:r>
          </w:p>
        </w:tc>
        <w:tc>
          <w:tcPr>
            <w:tcW w:type="dxa" w:w="6624"/>
            <w:vAlign w:val="center"/>
            <w:tcMar>
              <w:top w:w="90" w:type="dxa"/>
              <w:start w:w="90" w:type="dxa"/>
              <w:bottom w:w="90" w:type="dxa"/>
              <w:end w:w="90" w:type="dxa"/>
            </w:tcMar>
            <w:shd w:fill="F4F7FA"/>
          </w:tcPr>
          <w:p>
            <w:r>
              <w:rPr>
                <w:sz w:val="18"/>
              </w:rPr>
              <w:t>FastAPI on Render</w:t>
            </w:r>
          </w:p>
        </w:tc>
      </w:tr>
    </w:tbl>
    <w:p/>
    <w:p>
      <w:pPr>
        <w:jc w:val="center"/>
      </w:pPr>
      <w:r>
        <w:rPr>
          <w:i/>
          <w:color w:val="6B7280"/>
          <w:sz w:val="17"/>
        </w:rPr>
        <w:t>Confidentiality: Internal project report. Credentials, API keys, and service-account secrets are intentionally excluded.</w:t>
      </w:r>
    </w:p>
    <w:p>
      <w:r>
        <w:br w:type="page"/>
      </w:r>
    </w:p>
    <w:p>
      <w:pPr>
        <w:pStyle w:val="Heading1"/>
        <w:spacing w:before="240" w:after="80"/>
      </w:pPr>
      <w:r>
        <w:rPr>
          <w:color w:val="1F4E78"/>
        </w:rPr>
        <w:t>1. Executive Summary</w:t>
      </w:r>
    </w:p>
    <w:p>
      <w:pPr>
        <w:spacing w:after="120"/>
      </w:pPr>
      <w:r>
        <w:t>The Sumlink Analytics Dashboard is a production-ready product analytics solution for management and game-performance review. It combines an Appsmith Cloud interface with a FastAPI backend hosted on Render. The backend retrieves aggregated reporting data from the Google Analytics 4 Data API and exact user-level rolling-retention data from the GA4 BigQuery export.</w:t>
      </w:r>
    </w:p>
    <w:p>
      <w:pPr>
        <w:spacing w:after="120"/>
      </w:pPr>
      <w:r>
        <w:t>The delivered dashboard contains five management sections: Executive Health, Acquisition, Onboarding, Gameplay, and Retention. The production backend is live, GA4 connectivity is confirmed, exact rolling retention is enabled through BigQuery, and the focused backend validation suite passed all tests on 17 August 2026.</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2F75B5"/>
            <w:vAlign w:val="center"/>
            <w:tcMar>
              <w:top w:w="90" w:type="dxa"/>
              <w:start w:w="90" w:type="dxa"/>
              <w:bottom w:w="90" w:type="dxa"/>
              <w:end w:w="90" w:type="dxa"/>
            </w:tcMar>
          </w:tcPr>
          <w:p>
            <w:r>
              <w:rPr>
                <w:b/>
                <w:color w:val="FFFFFF"/>
                <w:sz w:val="19"/>
              </w:rPr>
              <w:t>Area</w:t>
            </w:r>
          </w:p>
        </w:tc>
        <w:tc>
          <w:tcPr>
            <w:tcW w:type="dxa" w:w="3324"/>
            <w:shd w:fill="2F75B5"/>
            <w:vAlign w:val="center"/>
            <w:tcMar>
              <w:top w:w="90" w:type="dxa"/>
              <w:start w:w="90" w:type="dxa"/>
              <w:bottom w:w="90" w:type="dxa"/>
              <w:end w:w="90" w:type="dxa"/>
            </w:tcMar>
          </w:tcPr>
          <w:p>
            <w:r>
              <w:rPr>
                <w:b/>
                <w:color w:val="FFFFFF"/>
                <w:sz w:val="19"/>
              </w:rPr>
              <w:t>Status</w:t>
            </w:r>
          </w:p>
        </w:tc>
        <w:tc>
          <w:tcPr>
            <w:tcW w:type="dxa" w:w="3324"/>
            <w:shd w:fill="2F75B5"/>
            <w:vAlign w:val="center"/>
            <w:tcMar>
              <w:top w:w="90" w:type="dxa"/>
              <w:start w:w="90" w:type="dxa"/>
              <w:bottom w:w="90" w:type="dxa"/>
              <w:end w:w="90" w:type="dxa"/>
            </w:tcMar>
          </w:tcPr>
          <w:p>
            <w:r>
              <w:rPr>
                <w:b/>
                <w:color w:val="FFFFFF"/>
                <w:sz w:val="19"/>
              </w:rPr>
              <w:t>Evidence</w:t>
            </w:r>
          </w:p>
        </w:tc>
      </w:tr>
      <w:tr>
        <w:tc>
          <w:tcPr>
            <w:tcW w:type="dxa" w:w="3324"/>
            <w:vAlign w:val="center"/>
            <w:tcMar>
              <w:top w:w="90" w:type="dxa"/>
              <w:start w:w="90" w:type="dxa"/>
              <w:bottom w:w="90" w:type="dxa"/>
              <w:end w:w="90" w:type="dxa"/>
            </w:tcMar>
          </w:tcPr>
          <w:p>
            <w:r>
              <w:rPr>
                <w:sz w:val="18"/>
              </w:rPr>
              <w:t>Render backend</w:t>
            </w:r>
          </w:p>
        </w:tc>
        <w:tc>
          <w:tcPr>
            <w:tcW w:type="dxa" w:w="3324"/>
            <w:vAlign w:val="center"/>
            <w:tcMar>
              <w:top w:w="90" w:type="dxa"/>
              <w:start w:w="90" w:type="dxa"/>
              <w:bottom w:w="90" w:type="dxa"/>
              <w:end w:w="90" w:type="dxa"/>
            </w:tcMar>
          </w:tcPr>
          <w:p>
            <w:r>
              <w:rPr>
                <w:sz w:val="18"/>
              </w:rPr>
              <w:t>Operational</w:t>
            </w:r>
          </w:p>
        </w:tc>
        <w:tc>
          <w:tcPr>
            <w:tcW w:type="dxa" w:w="3324"/>
            <w:vAlign w:val="center"/>
            <w:tcMar>
              <w:top w:w="90" w:type="dxa"/>
              <w:start w:w="90" w:type="dxa"/>
              <w:bottom w:w="90" w:type="dxa"/>
              <w:end w:w="90" w:type="dxa"/>
            </w:tcMar>
          </w:tcPr>
          <w:p>
            <w:r>
              <w:rPr>
                <w:sz w:val="18"/>
              </w:rPr>
              <w:t>/health returned ok; version 1.0.0</w:t>
            </w:r>
          </w:p>
        </w:tc>
      </w:tr>
      <w:tr>
        <w:tc>
          <w:tcPr>
            <w:tcW w:type="dxa" w:w="3324"/>
            <w:vAlign w:val="center"/>
            <w:tcMar>
              <w:top w:w="90" w:type="dxa"/>
              <w:start w:w="90" w:type="dxa"/>
              <w:bottom w:w="90" w:type="dxa"/>
              <w:end w:w="90" w:type="dxa"/>
            </w:tcMar>
            <w:shd w:fill="F4F7FA"/>
          </w:tcPr>
          <w:p>
            <w:r>
              <w:rPr>
                <w:sz w:val="18"/>
              </w:rPr>
              <w:t>GA4 connection</w:t>
            </w:r>
          </w:p>
        </w:tc>
        <w:tc>
          <w:tcPr>
            <w:tcW w:type="dxa" w:w="3324"/>
            <w:vAlign w:val="center"/>
            <w:tcMar>
              <w:top w:w="90" w:type="dxa"/>
              <w:start w:w="90" w:type="dxa"/>
              <w:bottom w:w="90" w:type="dxa"/>
              <w:end w:w="90" w:type="dxa"/>
            </w:tcMar>
            <w:shd w:fill="F4F7FA"/>
          </w:tcPr>
          <w:p>
            <w:r>
              <w:rPr>
                <w:sz w:val="18"/>
              </w:rPr>
              <w:t>Connected</w:t>
            </w:r>
          </w:p>
        </w:tc>
        <w:tc>
          <w:tcPr>
            <w:tcW w:type="dxa" w:w="3324"/>
            <w:vAlign w:val="center"/>
            <w:tcMar>
              <w:top w:w="90" w:type="dxa"/>
              <w:start w:w="90" w:type="dxa"/>
              <w:bottom w:w="90" w:type="dxa"/>
              <w:end w:w="90" w:type="dxa"/>
            </w:tcMar>
            <w:shd w:fill="F4F7FA"/>
          </w:tcPr>
          <w:p>
            <w:r>
              <w:rPr>
                <w:sz w:val="18"/>
              </w:rPr>
              <w:t>/ready returned ready and GA4 connected</w:t>
            </w:r>
          </w:p>
        </w:tc>
      </w:tr>
      <w:tr>
        <w:tc>
          <w:tcPr>
            <w:tcW w:type="dxa" w:w="3324"/>
            <w:vAlign w:val="center"/>
            <w:tcMar>
              <w:top w:w="90" w:type="dxa"/>
              <w:start w:w="90" w:type="dxa"/>
              <w:bottom w:w="90" w:type="dxa"/>
              <w:end w:w="90" w:type="dxa"/>
            </w:tcMar>
          </w:tcPr>
          <w:p>
            <w:r>
              <w:rPr>
                <w:sz w:val="18"/>
              </w:rPr>
              <w:t>Appsmith dashboard</w:t>
            </w:r>
          </w:p>
        </w:tc>
        <w:tc>
          <w:tcPr>
            <w:tcW w:type="dxa" w:w="3324"/>
            <w:vAlign w:val="center"/>
            <w:tcMar>
              <w:top w:w="90" w:type="dxa"/>
              <w:start w:w="90" w:type="dxa"/>
              <w:bottom w:w="90" w:type="dxa"/>
              <w:end w:w="90" w:type="dxa"/>
            </w:tcMar>
          </w:tcPr>
          <w:p>
            <w:r>
              <w:rPr>
                <w:sz w:val="18"/>
              </w:rPr>
              <w:t>Deployed</w:t>
            </w:r>
          </w:p>
        </w:tc>
        <w:tc>
          <w:tcPr>
            <w:tcW w:type="dxa" w:w="3324"/>
            <w:vAlign w:val="center"/>
            <w:tcMar>
              <w:top w:w="90" w:type="dxa"/>
              <w:start w:w="90" w:type="dxa"/>
              <w:bottom w:w="90" w:type="dxa"/>
              <w:end w:w="90" w:type="dxa"/>
            </w:tcMar>
          </w:tcPr>
          <w:p>
            <w:r>
              <w:rPr>
                <w:sz w:val="18"/>
              </w:rPr>
              <w:t>Five sections imported into Appsmith Cloud</w:t>
            </w:r>
          </w:p>
        </w:tc>
      </w:tr>
      <w:tr>
        <w:tc>
          <w:tcPr>
            <w:tcW w:type="dxa" w:w="3324"/>
            <w:vAlign w:val="center"/>
            <w:tcMar>
              <w:top w:w="90" w:type="dxa"/>
              <w:start w:w="90" w:type="dxa"/>
              <w:bottom w:w="90" w:type="dxa"/>
              <w:end w:w="90" w:type="dxa"/>
            </w:tcMar>
            <w:shd w:fill="F4F7FA"/>
          </w:tcPr>
          <w:p>
            <w:r>
              <w:rPr>
                <w:sz w:val="18"/>
              </w:rPr>
              <w:t>BigQuery retention</w:t>
            </w:r>
          </w:p>
        </w:tc>
        <w:tc>
          <w:tcPr>
            <w:tcW w:type="dxa" w:w="3324"/>
            <w:vAlign w:val="center"/>
            <w:tcMar>
              <w:top w:w="90" w:type="dxa"/>
              <w:start w:w="90" w:type="dxa"/>
              <w:bottom w:w="90" w:type="dxa"/>
              <w:end w:w="90" w:type="dxa"/>
            </w:tcMar>
            <w:shd w:fill="F4F7FA"/>
          </w:tcPr>
          <w:p>
            <w:r>
              <w:rPr>
                <w:sz w:val="18"/>
              </w:rPr>
              <w:t>Enabled</w:t>
            </w:r>
          </w:p>
        </w:tc>
        <w:tc>
          <w:tcPr>
            <w:tcW w:type="dxa" w:w="3324"/>
            <w:vAlign w:val="center"/>
            <w:tcMar>
              <w:top w:w="90" w:type="dxa"/>
              <w:start w:w="90" w:type="dxa"/>
              <w:bottom w:w="90" w:type="dxa"/>
              <w:end w:w="90" w:type="dxa"/>
            </w:tcMar>
            <w:shd w:fill="F4F7FA"/>
          </w:tcPr>
          <w:p>
            <w:r>
              <w:rPr>
                <w:sz w:val="18"/>
              </w:rPr>
              <w:t>Exact user-level rolling retention returned through the retention endpoint</w:t>
            </w:r>
          </w:p>
        </w:tc>
      </w:tr>
      <w:tr>
        <w:tc>
          <w:tcPr>
            <w:tcW w:type="dxa" w:w="3324"/>
            <w:vAlign w:val="center"/>
            <w:tcMar>
              <w:top w:w="90" w:type="dxa"/>
              <w:start w:w="90" w:type="dxa"/>
              <w:bottom w:w="90" w:type="dxa"/>
              <w:end w:w="90" w:type="dxa"/>
            </w:tcMar>
          </w:tcPr>
          <w:p>
            <w:r>
              <w:rPr>
                <w:sz w:val="18"/>
              </w:rPr>
              <w:t>Automated tests</w:t>
            </w:r>
          </w:p>
        </w:tc>
        <w:tc>
          <w:tcPr>
            <w:tcW w:type="dxa" w:w="3324"/>
            <w:vAlign w:val="center"/>
            <w:tcMar>
              <w:top w:w="90" w:type="dxa"/>
              <w:start w:w="90" w:type="dxa"/>
              <w:bottom w:w="90" w:type="dxa"/>
              <w:end w:w="90" w:type="dxa"/>
            </w:tcMar>
          </w:tcPr>
          <w:p>
            <w:r>
              <w:rPr>
                <w:sz w:val="18"/>
              </w:rPr>
              <w:t>Passed</w:t>
            </w:r>
          </w:p>
        </w:tc>
        <w:tc>
          <w:tcPr>
            <w:tcW w:type="dxa" w:w="3324"/>
            <w:vAlign w:val="center"/>
            <w:tcMar>
              <w:top w:w="90" w:type="dxa"/>
              <w:start w:w="90" w:type="dxa"/>
              <w:bottom w:w="90" w:type="dxa"/>
              <w:end w:w="90" w:type="dxa"/>
            </w:tcMar>
          </w:tcPr>
          <w:p>
            <w:r>
              <w:rPr>
                <w:sz w:val="18"/>
              </w:rPr>
              <w:t>13 backend tests passed</w:t>
            </w:r>
          </w:p>
        </w:tc>
      </w:tr>
    </w:tbl>
    <w:p/>
    <w:p>
      <w:pPr>
        <w:pStyle w:val="Heading1"/>
        <w:spacing w:before="240" w:after="80"/>
      </w:pPr>
      <w:r>
        <w:rPr>
          <w:color w:val="1F4E78"/>
        </w:rPr>
        <w:t>2. Project Objective</w:t>
      </w:r>
    </w:p>
    <w:p>
      <w:pPr>
        <w:spacing w:after="120"/>
      </w:pPr>
      <w:r>
        <w:t>The objective is to give management one consistent view of product health, user acquisition, onboarding quality, gameplay balance, and retention. The dashboard replaces fragmented manual checks with reusable filters, documented KPI definitions, and API-backed reporting.</w:t>
      </w:r>
    </w:p>
    <w:p>
      <w:pPr>
        <w:pStyle w:val="ListBullet"/>
        <w:spacing w:after="40"/>
      </w:pPr>
      <w:r>
        <w:t>Provide a concise management view of user growth, engagement, conversion, gameplay, and retention.</w:t>
      </w:r>
    </w:p>
    <w:p>
      <w:pPr>
        <w:pStyle w:val="ListBullet"/>
        <w:spacing w:after="40"/>
      </w:pPr>
      <w:r>
        <w:t>Use live GA4 reporting data while keeping credentials outside the Appsmith client.</w:t>
      </w:r>
    </w:p>
    <w:p>
      <w:pPr>
        <w:pStyle w:val="ListBullet"/>
        <w:spacing w:after="40"/>
      </w:pPr>
      <w:r>
        <w:t>Support exact rolling-retention analysis using BigQuery user-level events.</w:t>
      </w:r>
    </w:p>
    <w:p>
      <w:pPr>
        <w:pStyle w:val="ListBullet"/>
        <w:spacing w:after="40"/>
      </w:pPr>
      <w:r>
        <w:t>Allow managers to review the deployed dashboard without running a developer laptop.</w:t>
      </w:r>
    </w:p>
    <w:p>
      <w:pPr>
        <w:pStyle w:val="Heading1"/>
        <w:spacing w:before="240" w:after="80"/>
      </w:pPr>
      <w:r>
        <w:rPr>
          <w:color w:val="1F4E78"/>
        </w:rPr>
        <w:t>3. Production Architecture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2F75B5"/>
            <w:vAlign w:val="center"/>
            <w:tcMar>
              <w:top w:w="90" w:type="dxa"/>
              <w:start w:w="90" w:type="dxa"/>
              <w:bottom w:w="90" w:type="dxa"/>
              <w:end w:w="90" w:type="dxa"/>
            </w:tcMar>
          </w:tcPr>
          <w:p>
            <w:r>
              <w:rPr>
                <w:b/>
                <w:color w:val="FFFFFF"/>
                <w:sz w:val="19"/>
              </w:rPr>
              <w:t>Layer</w:t>
            </w:r>
          </w:p>
        </w:tc>
        <w:tc>
          <w:tcPr>
            <w:tcW w:type="dxa" w:w="3324"/>
            <w:shd w:fill="2F75B5"/>
            <w:vAlign w:val="center"/>
            <w:tcMar>
              <w:top w:w="90" w:type="dxa"/>
              <w:start w:w="90" w:type="dxa"/>
              <w:bottom w:w="90" w:type="dxa"/>
              <w:end w:w="90" w:type="dxa"/>
            </w:tcMar>
          </w:tcPr>
          <w:p>
            <w:r>
              <w:rPr>
                <w:b/>
                <w:color w:val="FFFFFF"/>
                <w:sz w:val="19"/>
              </w:rPr>
              <w:t>Technology</w:t>
            </w:r>
          </w:p>
        </w:tc>
        <w:tc>
          <w:tcPr>
            <w:tcW w:type="dxa" w:w="3324"/>
            <w:shd w:fill="2F75B5"/>
            <w:vAlign w:val="center"/>
            <w:tcMar>
              <w:top w:w="90" w:type="dxa"/>
              <w:start w:w="90" w:type="dxa"/>
              <w:bottom w:w="90" w:type="dxa"/>
              <w:end w:w="90" w:type="dxa"/>
            </w:tcMar>
          </w:tcPr>
          <w:p>
            <w:r>
              <w:rPr>
                <w:b/>
                <w:color w:val="FFFFFF"/>
                <w:sz w:val="19"/>
              </w:rPr>
              <w:t>Responsibility</w:t>
            </w:r>
          </w:p>
        </w:tc>
      </w:tr>
      <w:tr>
        <w:tc>
          <w:tcPr>
            <w:tcW w:type="dxa" w:w="3324"/>
            <w:vAlign w:val="center"/>
            <w:tcMar>
              <w:top w:w="90" w:type="dxa"/>
              <w:start w:w="90" w:type="dxa"/>
              <w:bottom w:w="90" w:type="dxa"/>
              <w:end w:w="90" w:type="dxa"/>
            </w:tcMar>
          </w:tcPr>
          <w:p>
            <w:r>
              <w:rPr>
                <w:sz w:val="18"/>
              </w:rPr>
              <w:t>Dashboard</w:t>
            </w:r>
          </w:p>
        </w:tc>
        <w:tc>
          <w:tcPr>
            <w:tcW w:type="dxa" w:w="3324"/>
            <w:vAlign w:val="center"/>
            <w:tcMar>
              <w:top w:w="90" w:type="dxa"/>
              <w:start w:w="90" w:type="dxa"/>
              <w:bottom w:w="90" w:type="dxa"/>
              <w:end w:w="90" w:type="dxa"/>
            </w:tcMar>
          </w:tcPr>
          <w:p>
            <w:r>
              <w:rPr>
                <w:sz w:val="18"/>
              </w:rPr>
              <w:t>Appsmith Cloud</w:t>
            </w:r>
          </w:p>
        </w:tc>
        <w:tc>
          <w:tcPr>
            <w:tcW w:type="dxa" w:w="3324"/>
            <w:vAlign w:val="center"/>
            <w:tcMar>
              <w:top w:w="90" w:type="dxa"/>
              <w:start w:w="90" w:type="dxa"/>
              <w:bottom w:w="90" w:type="dxa"/>
              <w:end w:w="90" w:type="dxa"/>
            </w:tcMar>
          </w:tcPr>
          <w:p>
            <w:r>
              <w:rPr>
                <w:sz w:val="18"/>
              </w:rPr>
              <w:t>Filters, KPI cards, charts, tables, and manager-facing navigation</w:t>
            </w:r>
          </w:p>
        </w:tc>
      </w:tr>
      <w:tr>
        <w:tc>
          <w:tcPr>
            <w:tcW w:type="dxa" w:w="3324"/>
            <w:vAlign w:val="center"/>
            <w:tcMar>
              <w:top w:w="90" w:type="dxa"/>
              <w:start w:w="90" w:type="dxa"/>
              <w:bottom w:w="90" w:type="dxa"/>
              <w:end w:w="90" w:type="dxa"/>
            </w:tcMar>
            <w:shd w:fill="F4F7FA"/>
          </w:tcPr>
          <w:p>
            <w:r>
              <w:rPr>
                <w:sz w:val="18"/>
              </w:rPr>
              <w:t>API</w:t>
            </w:r>
          </w:p>
        </w:tc>
        <w:tc>
          <w:tcPr>
            <w:tcW w:type="dxa" w:w="3324"/>
            <w:vAlign w:val="center"/>
            <w:tcMar>
              <w:top w:w="90" w:type="dxa"/>
              <w:start w:w="90" w:type="dxa"/>
              <w:bottom w:w="90" w:type="dxa"/>
              <w:end w:w="90" w:type="dxa"/>
            </w:tcMar>
            <w:shd w:fill="F4F7FA"/>
          </w:tcPr>
          <w:p>
            <w:r>
              <w:rPr>
                <w:sz w:val="18"/>
              </w:rPr>
              <w:t>Python FastAPI</w:t>
            </w:r>
          </w:p>
        </w:tc>
        <w:tc>
          <w:tcPr>
            <w:tcW w:type="dxa" w:w="3324"/>
            <w:vAlign w:val="center"/>
            <w:tcMar>
              <w:top w:w="90" w:type="dxa"/>
              <w:start w:w="90" w:type="dxa"/>
              <w:bottom w:w="90" w:type="dxa"/>
              <w:end w:w="90" w:type="dxa"/>
            </w:tcMar>
            <w:shd w:fill="F4F7FA"/>
          </w:tcPr>
          <w:p>
            <w:r>
              <w:rPr>
                <w:sz w:val="18"/>
              </w:rPr>
              <w:t>Authentication, validation, aggregation, caching, and response shaping</w:t>
            </w:r>
          </w:p>
        </w:tc>
      </w:tr>
      <w:tr>
        <w:tc>
          <w:tcPr>
            <w:tcW w:type="dxa" w:w="3324"/>
            <w:vAlign w:val="center"/>
            <w:tcMar>
              <w:top w:w="90" w:type="dxa"/>
              <w:start w:w="90" w:type="dxa"/>
              <w:bottom w:w="90" w:type="dxa"/>
              <w:end w:w="90" w:type="dxa"/>
            </w:tcMar>
          </w:tcPr>
          <w:p>
            <w:r>
              <w:rPr>
                <w:sz w:val="18"/>
              </w:rPr>
              <w:t>Hosting</w:t>
            </w:r>
          </w:p>
        </w:tc>
        <w:tc>
          <w:tcPr>
            <w:tcW w:type="dxa" w:w="3324"/>
            <w:vAlign w:val="center"/>
            <w:tcMar>
              <w:top w:w="90" w:type="dxa"/>
              <w:start w:w="90" w:type="dxa"/>
              <w:bottom w:w="90" w:type="dxa"/>
              <w:end w:w="90" w:type="dxa"/>
            </w:tcMar>
          </w:tcPr>
          <w:p>
            <w:r>
              <w:rPr>
                <w:sz w:val="18"/>
              </w:rPr>
              <w:t>Render</w:t>
            </w:r>
          </w:p>
        </w:tc>
        <w:tc>
          <w:tcPr>
            <w:tcW w:type="dxa" w:w="3324"/>
            <w:vAlign w:val="center"/>
            <w:tcMar>
              <w:top w:w="90" w:type="dxa"/>
              <w:start w:w="90" w:type="dxa"/>
              <w:bottom w:w="90" w:type="dxa"/>
              <w:end w:w="90" w:type="dxa"/>
            </w:tcMar>
          </w:tcPr>
          <w:p>
            <w:r>
              <w:rPr>
                <w:sz w:val="18"/>
              </w:rPr>
              <w:t>Public HTTPS backend deployment and health monitoring</w:t>
            </w:r>
          </w:p>
        </w:tc>
      </w:tr>
      <w:tr>
        <w:tc>
          <w:tcPr>
            <w:tcW w:type="dxa" w:w="3324"/>
            <w:vAlign w:val="center"/>
            <w:tcMar>
              <w:top w:w="90" w:type="dxa"/>
              <w:start w:w="90" w:type="dxa"/>
              <w:bottom w:w="90" w:type="dxa"/>
              <w:end w:w="90" w:type="dxa"/>
            </w:tcMar>
            <w:shd w:fill="F4F7FA"/>
          </w:tcPr>
          <w:p>
            <w:r>
              <w:rPr>
                <w:sz w:val="18"/>
              </w:rPr>
              <w:t>Reporting data</w:t>
            </w:r>
          </w:p>
        </w:tc>
        <w:tc>
          <w:tcPr>
            <w:tcW w:type="dxa" w:w="3324"/>
            <w:vAlign w:val="center"/>
            <w:tcMar>
              <w:top w:w="90" w:type="dxa"/>
              <w:start w:w="90" w:type="dxa"/>
              <w:bottom w:w="90" w:type="dxa"/>
              <w:end w:w="90" w:type="dxa"/>
            </w:tcMar>
            <w:shd w:fill="F4F7FA"/>
          </w:tcPr>
          <w:p>
            <w:r>
              <w:rPr>
                <w:sz w:val="18"/>
              </w:rPr>
              <w:t>GA4 Data API</w:t>
            </w:r>
          </w:p>
        </w:tc>
        <w:tc>
          <w:tcPr>
            <w:tcW w:type="dxa" w:w="3324"/>
            <w:vAlign w:val="center"/>
            <w:tcMar>
              <w:top w:w="90" w:type="dxa"/>
              <w:start w:w="90" w:type="dxa"/>
              <w:bottom w:w="90" w:type="dxa"/>
              <w:end w:w="90" w:type="dxa"/>
            </w:tcMar>
            <w:shd w:fill="F4F7FA"/>
          </w:tcPr>
          <w:p>
            <w:r>
              <w:rPr>
                <w:sz w:val="18"/>
              </w:rPr>
              <w:t>Aggregated users, sessions, engagement, funnels, events, and cohort metrics</w:t>
            </w:r>
          </w:p>
        </w:tc>
      </w:tr>
      <w:tr>
        <w:tc>
          <w:tcPr>
            <w:tcW w:type="dxa" w:w="3324"/>
            <w:vAlign w:val="center"/>
            <w:tcMar>
              <w:top w:w="90" w:type="dxa"/>
              <w:start w:w="90" w:type="dxa"/>
              <w:bottom w:w="90" w:type="dxa"/>
              <w:end w:w="90" w:type="dxa"/>
            </w:tcMar>
          </w:tcPr>
          <w:p>
            <w:r>
              <w:rPr>
                <w:sz w:val="18"/>
              </w:rPr>
              <w:t>Raw analytics</w:t>
            </w:r>
          </w:p>
        </w:tc>
        <w:tc>
          <w:tcPr>
            <w:tcW w:type="dxa" w:w="3324"/>
            <w:vAlign w:val="center"/>
            <w:tcMar>
              <w:top w:w="90" w:type="dxa"/>
              <w:start w:w="90" w:type="dxa"/>
              <w:bottom w:w="90" w:type="dxa"/>
              <w:end w:w="90" w:type="dxa"/>
            </w:tcMar>
          </w:tcPr>
          <w:p>
            <w:r>
              <w:rPr>
                <w:sz w:val="18"/>
              </w:rPr>
              <w:t>GA4 BigQuery export</w:t>
            </w:r>
          </w:p>
        </w:tc>
        <w:tc>
          <w:tcPr>
            <w:tcW w:type="dxa" w:w="3324"/>
            <w:vAlign w:val="center"/>
            <w:tcMar>
              <w:top w:w="90" w:type="dxa"/>
              <w:start w:w="90" w:type="dxa"/>
              <w:bottom w:w="90" w:type="dxa"/>
              <w:end w:w="90" w:type="dxa"/>
            </w:tcMar>
          </w:tcPr>
          <w:p>
            <w:r>
              <w:rPr>
                <w:sz w:val="18"/>
              </w:rPr>
              <w:t>Exact distinct-user rolling retention and user-level cohort calculation</w:t>
            </w:r>
          </w:p>
        </w:tc>
      </w:tr>
    </w:tbl>
    <w:p/>
    <w:tbl>
      <w:tblPr>
        <w:tblStyle w:val="TableGrid"/>
        <w:tblW w:type="auto" w:w="0"/>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color w:val="1F4E78"/>
              </w:rPr>
              <w:t>Data flow: Manager -&gt; Appsmith Cloud -&gt; HTTPS FastAPI endpoint -&gt; GA4 Data API and/or BigQuery -&gt; normalized JSON response -&gt; dashboard cards, charts, and tables.</w:t>
            </w:r>
          </w:p>
        </w:tc>
      </w:tr>
    </w:tbl>
    <w:p/>
    <w:p>
      <w:pPr>
        <w:spacing w:after="120"/>
      </w:pPr>
      <w:r>
        <w:t>Appsmith never receives the Google service-account credential. It sends only dashboard filters and the protected API header to the Render backend.</w:t>
      </w:r>
    </w:p>
    <w:p>
      <w:pPr>
        <w:pStyle w:val="Heading1"/>
        <w:spacing w:before="240" w:after="80"/>
      </w:pPr>
      <w:r>
        <w:rPr>
          <w:color w:val="1F4E78"/>
        </w:rPr>
        <w:t>4. Hosting and Deployment</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shd w:fill="2F75B5"/>
            <w:vAlign w:val="center"/>
            <w:tcMar>
              <w:top w:w="90" w:type="dxa"/>
              <w:start w:w="90" w:type="dxa"/>
              <w:bottom w:w="90" w:type="dxa"/>
              <w:end w:w="90" w:type="dxa"/>
            </w:tcMar>
          </w:tcPr>
          <w:p>
            <w:r>
              <w:rPr>
                <w:b/>
                <w:color w:val="FFFFFF"/>
                <w:sz w:val="19"/>
              </w:rPr>
              <w:t>Component</w:t>
            </w:r>
          </w:p>
        </w:tc>
        <w:tc>
          <w:tcPr>
            <w:tcW w:type="dxa" w:w="3324"/>
            <w:shd w:fill="2F75B5"/>
            <w:vAlign w:val="center"/>
            <w:tcMar>
              <w:top w:w="90" w:type="dxa"/>
              <w:start w:w="90" w:type="dxa"/>
              <w:bottom w:w="90" w:type="dxa"/>
              <w:end w:w="90" w:type="dxa"/>
            </w:tcMar>
          </w:tcPr>
          <w:p>
            <w:r>
              <w:rPr>
                <w:b/>
                <w:color w:val="FFFFFF"/>
                <w:sz w:val="19"/>
              </w:rPr>
              <w:t>Production location</w:t>
            </w:r>
          </w:p>
        </w:tc>
        <w:tc>
          <w:tcPr>
            <w:tcW w:type="dxa" w:w="3324"/>
            <w:shd w:fill="2F75B5"/>
            <w:vAlign w:val="center"/>
            <w:tcMar>
              <w:top w:w="90" w:type="dxa"/>
              <w:start w:w="90" w:type="dxa"/>
              <w:bottom w:w="90" w:type="dxa"/>
              <w:end w:w="90" w:type="dxa"/>
            </w:tcMar>
          </w:tcPr>
          <w:p>
            <w:r>
              <w:rPr>
                <w:b/>
                <w:color w:val="FFFFFF"/>
                <w:sz w:val="19"/>
              </w:rPr>
              <w:t>Current state</w:t>
            </w:r>
          </w:p>
        </w:tc>
      </w:tr>
      <w:tr>
        <w:tc>
          <w:tcPr>
            <w:tcW w:type="dxa" w:w="3324"/>
            <w:vAlign w:val="center"/>
            <w:tcMar>
              <w:top w:w="90" w:type="dxa"/>
              <w:start w:w="90" w:type="dxa"/>
              <w:bottom w:w="90" w:type="dxa"/>
              <w:end w:w="90" w:type="dxa"/>
            </w:tcMar>
          </w:tcPr>
          <w:p>
            <w:r>
              <w:rPr>
                <w:sz w:val="18"/>
              </w:rPr>
              <w:t>Backend API</w:t>
            </w:r>
          </w:p>
        </w:tc>
        <w:tc>
          <w:tcPr>
            <w:tcW w:type="dxa" w:w="3324"/>
            <w:vAlign w:val="center"/>
            <w:tcMar>
              <w:top w:w="90" w:type="dxa"/>
              <w:start w:w="90" w:type="dxa"/>
              <w:bottom w:w="90" w:type="dxa"/>
              <w:end w:w="90" w:type="dxa"/>
            </w:tcMar>
          </w:tcPr>
          <w:p>
            <w:r>
              <w:rPr>
                <w:sz w:val="18"/>
              </w:rPr>
              <w:t>https://sumlink-analytics-api.onrender.com</w:t>
            </w:r>
          </w:p>
        </w:tc>
        <w:tc>
          <w:tcPr>
            <w:tcW w:type="dxa" w:w="3324"/>
            <w:vAlign w:val="center"/>
            <w:tcMar>
              <w:top w:w="90" w:type="dxa"/>
              <w:start w:w="90" w:type="dxa"/>
              <w:bottom w:w="90" w:type="dxa"/>
              <w:end w:w="90" w:type="dxa"/>
            </w:tcMar>
          </w:tcPr>
          <w:p>
            <w:r>
              <w:rPr>
                <w:sz w:val="18"/>
              </w:rPr>
              <w:t>Live and externally reachable</w:t>
            </w:r>
          </w:p>
        </w:tc>
      </w:tr>
      <w:tr>
        <w:tc>
          <w:tcPr>
            <w:tcW w:type="dxa" w:w="3324"/>
            <w:vAlign w:val="center"/>
            <w:tcMar>
              <w:top w:w="90" w:type="dxa"/>
              <w:start w:w="90" w:type="dxa"/>
              <w:bottom w:w="90" w:type="dxa"/>
              <w:end w:w="90" w:type="dxa"/>
            </w:tcMar>
            <w:shd w:fill="F4F7FA"/>
          </w:tcPr>
          <w:p>
            <w:r>
              <w:rPr>
                <w:sz w:val="18"/>
              </w:rPr>
              <w:t>Health check</w:t>
            </w:r>
          </w:p>
        </w:tc>
        <w:tc>
          <w:tcPr>
            <w:tcW w:type="dxa" w:w="3324"/>
            <w:vAlign w:val="center"/>
            <w:tcMar>
              <w:top w:w="90" w:type="dxa"/>
              <w:start w:w="90" w:type="dxa"/>
              <w:bottom w:w="90" w:type="dxa"/>
              <w:end w:w="90" w:type="dxa"/>
            </w:tcMar>
            <w:shd w:fill="F4F7FA"/>
          </w:tcPr>
          <w:p>
            <w:r>
              <w:rPr>
                <w:sz w:val="18"/>
              </w:rPr>
              <w:t>/health</w:t>
            </w:r>
          </w:p>
        </w:tc>
        <w:tc>
          <w:tcPr>
            <w:tcW w:type="dxa" w:w="3324"/>
            <w:vAlign w:val="center"/>
            <w:tcMar>
              <w:top w:w="90" w:type="dxa"/>
              <w:start w:w="90" w:type="dxa"/>
              <w:bottom w:w="90" w:type="dxa"/>
              <w:end w:w="90" w:type="dxa"/>
            </w:tcMar>
            <w:shd w:fill="F4F7FA"/>
          </w:tcPr>
          <w:p>
            <w:r>
              <w:rPr>
                <w:sz w:val="18"/>
              </w:rPr>
              <w:t>Status ok; service version 1.0.0</w:t>
            </w:r>
          </w:p>
        </w:tc>
      </w:tr>
      <w:tr>
        <w:tc>
          <w:tcPr>
            <w:tcW w:type="dxa" w:w="3324"/>
            <w:vAlign w:val="center"/>
            <w:tcMar>
              <w:top w:w="90" w:type="dxa"/>
              <w:start w:w="90" w:type="dxa"/>
              <w:bottom w:w="90" w:type="dxa"/>
              <w:end w:w="90" w:type="dxa"/>
            </w:tcMar>
          </w:tcPr>
          <w:p>
            <w:r>
              <w:rPr>
                <w:sz w:val="18"/>
              </w:rPr>
              <w:t>Readiness check</w:t>
            </w:r>
          </w:p>
        </w:tc>
        <w:tc>
          <w:tcPr>
            <w:tcW w:type="dxa" w:w="3324"/>
            <w:vAlign w:val="center"/>
            <w:tcMar>
              <w:top w:w="90" w:type="dxa"/>
              <w:start w:w="90" w:type="dxa"/>
              <w:bottom w:w="90" w:type="dxa"/>
              <w:end w:w="90" w:type="dxa"/>
            </w:tcMar>
          </w:tcPr>
          <w:p>
            <w:r>
              <w:rPr>
                <w:sz w:val="18"/>
              </w:rPr>
              <w:t>/ready</w:t>
            </w:r>
          </w:p>
        </w:tc>
        <w:tc>
          <w:tcPr>
            <w:tcW w:type="dxa" w:w="3324"/>
            <w:vAlign w:val="center"/>
            <w:tcMar>
              <w:top w:w="90" w:type="dxa"/>
              <w:start w:w="90" w:type="dxa"/>
              <w:bottom w:w="90" w:type="dxa"/>
              <w:end w:w="90" w:type="dxa"/>
            </w:tcMar>
          </w:tcPr>
          <w:p>
            <w:r>
              <w:rPr>
                <w:sz w:val="18"/>
              </w:rPr>
              <w:t>Status ready; GA4 connected</w:t>
            </w:r>
          </w:p>
        </w:tc>
      </w:tr>
      <w:tr>
        <w:tc>
          <w:tcPr>
            <w:tcW w:type="dxa" w:w="3324"/>
            <w:vAlign w:val="center"/>
            <w:tcMar>
              <w:top w:w="90" w:type="dxa"/>
              <w:start w:w="90" w:type="dxa"/>
              <w:bottom w:w="90" w:type="dxa"/>
              <w:end w:w="90" w:type="dxa"/>
            </w:tcMar>
            <w:shd w:fill="F4F7FA"/>
          </w:tcPr>
          <w:p>
            <w:r>
              <w:rPr>
                <w:sz w:val="18"/>
              </w:rPr>
              <w:t>Dashboard</w:t>
            </w:r>
          </w:p>
        </w:tc>
        <w:tc>
          <w:tcPr>
            <w:tcW w:type="dxa" w:w="3324"/>
            <w:vAlign w:val="center"/>
            <w:tcMar>
              <w:top w:w="90" w:type="dxa"/>
              <w:start w:w="90" w:type="dxa"/>
              <w:bottom w:w="90" w:type="dxa"/>
              <w:end w:w="90" w:type="dxa"/>
            </w:tcMar>
            <w:shd w:fill="F4F7FA"/>
          </w:tcPr>
          <w:p>
            <w:r>
              <w:rPr>
                <w:sz w:val="18"/>
              </w:rPr>
              <w:t>xorstack.appsmith.com workspace</w:t>
            </w:r>
          </w:p>
        </w:tc>
        <w:tc>
          <w:tcPr>
            <w:tcW w:type="dxa" w:w="3324"/>
            <w:vAlign w:val="center"/>
            <w:tcMar>
              <w:top w:w="90" w:type="dxa"/>
              <w:start w:w="90" w:type="dxa"/>
              <w:bottom w:w="90" w:type="dxa"/>
              <w:end w:w="90" w:type="dxa"/>
            </w:tcMar>
            <w:shd w:fill="F4F7FA"/>
          </w:tcPr>
          <w:p>
            <w:r>
              <w:rPr>
                <w:sz w:val="18"/>
              </w:rPr>
              <w:t>Imported and deployed in Appsmith Cloud</w:t>
            </w:r>
          </w:p>
        </w:tc>
      </w:tr>
      <w:tr>
        <w:tc>
          <w:tcPr>
            <w:tcW w:type="dxa" w:w="3324"/>
            <w:vAlign w:val="center"/>
            <w:tcMar>
              <w:top w:w="90" w:type="dxa"/>
              <w:start w:w="90" w:type="dxa"/>
              <w:bottom w:w="90" w:type="dxa"/>
              <w:end w:w="90" w:type="dxa"/>
            </w:tcMar>
          </w:tcPr>
          <w:p>
            <w:r>
              <w:rPr>
                <w:sz w:val="18"/>
              </w:rPr>
              <w:t>Local environment</w:t>
            </w:r>
          </w:p>
        </w:tc>
        <w:tc>
          <w:tcPr>
            <w:tcW w:type="dxa" w:w="3324"/>
            <w:vAlign w:val="center"/>
            <w:tcMar>
              <w:top w:w="90" w:type="dxa"/>
              <w:start w:w="90" w:type="dxa"/>
              <w:bottom w:w="90" w:type="dxa"/>
              <w:end w:w="90" w:type="dxa"/>
            </w:tcMar>
          </w:tcPr>
          <w:p>
            <w:r>
              <w:rPr>
                <w:sz w:val="18"/>
              </w:rPr>
              <w:t>localhost</w:t>
            </w:r>
          </w:p>
        </w:tc>
        <w:tc>
          <w:tcPr>
            <w:tcW w:type="dxa" w:w="3324"/>
            <w:vAlign w:val="center"/>
            <w:tcMar>
              <w:top w:w="90" w:type="dxa"/>
              <w:start w:w="90" w:type="dxa"/>
              <w:bottom w:w="90" w:type="dxa"/>
              <w:end w:w="90" w:type="dxa"/>
            </w:tcMar>
          </w:tcPr>
          <w:p>
            <w:r>
              <w:rPr>
                <w:sz w:val="18"/>
              </w:rPr>
              <w:t>Development copy only; not required for production access</w:t>
            </w:r>
          </w:p>
        </w:tc>
      </w:tr>
    </w:tbl>
    <w:p/>
    <w:p>
      <w:pPr>
        <w:spacing w:after="120"/>
      </w:pPr>
      <w:r>
        <w:t>Manager access must use the deployed Appsmith Cloud application URL. If login is required, invite the manager through Appsmith Share or make the application public according to company policy.</w:t>
      </w:r>
    </w:p>
    <w:p>
      <w:pPr>
        <w:pStyle w:val="Heading1"/>
        <w:spacing w:before="240" w:after="80"/>
      </w:pPr>
      <w:r>
        <w:rPr>
          <w:color w:val="1F4E78"/>
        </w:rPr>
        <w:t>5. Dashboard Modules</w:t>
      </w:r>
    </w:p>
    <w:p>
      <w:pPr>
        <w:pStyle w:val="Heading2"/>
        <w:spacing w:before="160" w:after="80"/>
      </w:pPr>
      <w:r>
        <w:rPr>
          <w:color w:val="2F75B5"/>
        </w:rPr>
        <w:t>5.1 Executive Health</w:t>
      </w:r>
    </w:p>
    <w:p>
      <w:pPr>
        <w:pStyle w:val="ListBullet"/>
        <w:spacing w:after="40"/>
      </w:pPr>
      <w:r>
        <w:t>Active users and new users for the selected period.</w:t>
      </w:r>
    </w:p>
    <w:p>
      <w:pPr>
        <w:pStyle w:val="ListBullet"/>
        <w:spacing w:after="40"/>
      </w:pPr>
      <w:r>
        <w:t>DAU, MAU, and DAU/MAU stickiness.</w:t>
      </w:r>
    </w:p>
    <w:p>
      <w:pPr>
        <w:pStyle w:val="ListBullet"/>
        <w:spacing w:after="40"/>
      </w:pPr>
      <w:r>
        <w:t>Engagement rate, sessions, screen views, and activity trends.</w:t>
      </w:r>
    </w:p>
    <w:p>
      <w:pPr>
        <w:pStyle w:val="ListBullet"/>
        <w:spacing w:after="40"/>
      </w:pPr>
      <w:r>
        <w:t>A compact management view of product adoption and engagement.</w:t>
      </w:r>
    </w:p>
    <w:p>
      <w:pPr>
        <w:pStyle w:val="Heading2"/>
        <w:spacing w:before="160" w:after="80"/>
      </w:pPr>
      <w:r>
        <w:rPr>
          <w:color w:val="2F75B5"/>
        </w:rPr>
        <w:t>5.2 Acquisition</w:t>
      </w:r>
    </w:p>
    <w:p>
      <w:pPr>
        <w:pStyle w:val="ListBullet"/>
        <w:spacing w:after="40"/>
      </w:pPr>
      <w:r>
        <w:t>User acquisition and churn-oriented summary metrics.</w:t>
      </w:r>
    </w:p>
    <w:p>
      <w:pPr>
        <w:pStyle w:val="ListBullet"/>
        <w:spacing w:after="40"/>
      </w:pPr>
      <w:r>
        <w:t>Channel, source, and campaign quality comparisons where GA4 dimensions are available.</w:t>
      </w:r>
    </w:p>
    <w:p>
      <w:pPr>
        <w:pStyle w:val="ListBullet"/>
        <w:spacing w:after="40"/>
      </w:pPr>
      <w:r>
        <w:t>New-user growth and returning-user behavior for the selected filters.</w:t>
      </w:r>
    </w:p>
    <w:p>
      <w:pPr>
        <w:pStyle w:val="Heading2"/>
        <w:spacing w:before="160" w:after="80"/>
      </w:pPr>
      <w:r>
        <w:rPr>
          <w:color w:val="2F75B5"/>
        </w:rPr>
        <w:t>5.3 Onboarding</w:t>
      </w:r>
    </w:p>
    <w:p>
      <w:pPr>
        <w:pStyle w:val="ListBullet"/>
        <w:spacing w:after="40"/>
      </w:pPr>
      <w:r>
        <w:t>Onboarding and tutorial funnel progression.</w:t>
      </w:r>
    </w:p>
    <w:p>
      <w:pPr>
        <w:pStyle w:val="ListBullet"/>
        <w:spacing w:after="40"/>
      </w:pPr>
      <w:r>
        <w:t>Tutorial started, completed, failed, skipped, and frustration indicators.</w:t>
      </w:r>
    </w:p>
    <w:p>
      <w:pPr>
        <w:pStyle w:val="ListBullet"/>
        <w:spacing w:after="40"/>
      </w:pPr>
      <w:r>
        <w:t>Conversion and drop-off rates across onboarding steps.</w:t>
      </w:r>
    </w:p>
    <w:p>
      <w:pPr>
        <w:pStyle w:val="ListBullet"/>
        <w:spacing w:after="40"/>
      </w:pPr>
      <w:r>
        <w:t>Average tutorial-step timing where registered GA4 parameters are available.</w:t>
      </w:r>
    </w:p>
    <w:p>
      <w:pPr>
        <w:pStyle w:val="Heading2"/>
        <w:spacing w:before="160" w:after="80"/>
      </w:pPr>
      <w:r>
        <w:rPr>
          <w:color w:val="2F75B5"/>
        </w:rPr>
        <w:t>5.4 Gameplay</w:t>
      </w:r>
    </w:p>
    <w:p>
      <w:pPr>
        <w:pStyle w:val="ListBullet"/>
        <w:spacing w:after="40"/>
      </w:pPr>
      <w:r>
        <w:t>Level starts, completions, failures, and drop-off analysis.</w:t>
      </w:r>
    </w:p>
    <w:p>
      <w:pPr>
        <w:pStyle w:val="ListBullet"/>
        <w:spacing w:after="40"/>
      </w:pPr>
      <w:r>
        <w:t>New versus returning player activity.</w:t>
      </w:r>
    </w:p>
    <w:p>
      <w:pPr>
        <w:pStyle w:val="ListBullet"/>
        <w:spacing w:after="40"/>
      </w:pPr>
      <w:r>
        <w:t>Hint and add-row usage, level difficulty, and completion trends.</w:t>
      </w:r>
    </w:p>
    <w:p>
      <w:pPr>
        <w:pStyle w:val="ListBullet"/>
        <w:spacing w:after="40"/>
      </w:pPr>
      <w:r>
        <w:t>Level-level tables for identifying balancing and progression issues.</w:t>
      </w:r>
    </w:p>
    <w:p>
      <w:pPr>
        <w:pStyle w:val="Heading2"/>
        <w:spacing w:before="160" w:after="80"/>
      </w:pPr>
      <w:r>
        <w:rPr>
          <w:color w:val="2F75B5"/>
        </w:rPr>
        <w:t>5.5 Retention</w:t>
      </w:r>
    </w:p>
    <w:p>
      <w:pPr>
        <w:pStyle w:val="ListBullet"/>
        <w:spacing w:after="40"/>
      </w:pPr>
      <w:r>
        <w:t>DAU, WAU, MAU, stickiness, sessions, and returning users.</w:t>
      </w:r>
    </w:p>
    <w:p>
      <w:pPr>
        <w:pStyle w:val="ListBullet"/>
        <w:spacing w:after="40"/>
      </w:pPr>
      <w:r>
        <w:t>Exact Day 1, Day 3, Day 7, and Day 15 cohort retention from GA4 reporting.</w:t>
      </w:r>
    </w:p>
    <w:p>
      <w:pPr>
        <w:pStyle w:val="ListBullet"/>
        <w:spacing w:after="40"/>
      </w:pPr>
      <w:r>
        <w:t>Exact rolling Day 1+, Day 3+, Day 7+, and Day 15+ retention from BigQuery.</w:t>
      </w:r>
    </w:p>
    <w:p>
      <w:pPr>
        <w:pStyle w:val="ListBullet"/>
        <w:spacing w:after="40"/>
      </w:pPr>
      <w:r>
        <w:t>Cohort tables and trends with mature-day handling for incomplete cohorts.</w:t>
      </w:r>
    </w:p>
    <w:p>
      <w:pPr>
        <w:pStyle w:val="Heading1"/>
        <w:spacing w:before="240" w:after="80"/>
      </w:pPr>
      <w:r>
        <w:rPr>
          <w:color w:val="1F4E78"/>
        </w:rPr>
        <w:t>6. Global Filters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Filter</w:t>
            </w:r>
          </w:p>
        </w:tc>
        <w:tc>
          <w:tcPr>
            <w:tcW w:type="dxa" w:w="4986"/>
            <w:shd w:fill="2F75B5"/>
            <w:vAlign w:val="center"/>
            <w:tcMar>
              <w:top w:w="90" w:type="dxa"/>
              <w:start w:w="90" w:type="dxa"/>
              <w:bottom w:w="90" w:type="dxa"/>
              <w:end w:w="90" w:type="dxa"/>
            </w:tcMar>
          </w:tcPr>
          <w:p>
            <w:r>
              <w:rPr>
                <w:b/>
                <w:color w:val="FFFFFF"/>
                <w:sz w:val="19"/>
              </w:rPr>
              <w:t>Purpose</w:t>
            </w:r>
          </w:p>
        </w:tc>
      </w:tr>
      <w:tr>
        <w:tc>
          <w:tcPr>
            <w:tcW w:type="dxa" w:w="4986"/>
            <w:vAlign w:val="center"/>
            <w:tcMar>
              <w:top w:w="90" w:type="dxa"/>
              <w:start w:w="90" w:type="dxa"/>
              <w:bottom w:w="90" w:type="dxa"/>
              <w:end w:w="90" w:type="dxa"/>
            </w:tcMar>
          </w:tcPr>
          <w:p>
            <w:r>
              <w:rPr>
                <w:sz w:val="18"/>
              </w:rPr>
              <w:t>Date range</w:t>
            </w:r>
          </w:p>
        </w:tc>
        <w:tc>
          <w:tcPr>
            <w:tcW w:type="dxa" w:w="4986"/>
            <w:vAlign w:val="center"/>
            <w:tcMar>
              <w:top w:w="90" w:type="dxa"/>
              <w:start w:w="90" w:type="dxa"/>
              <w:bottom w:w="90" w:type="dxa"/>
              <w:end w:w="90" w:type="dxa"/>
            </w:tcMar>
          </w:tcPr>
          <w:p>
            <w:r>
              <w:rPr>
                <w:sz w:val="18"/>
              </w:rPr>
              <w:t>Last 7, 14, or 30 days and supported custom date ranges</w:t>
            </w:r>
          </w:p>
        </w:tc>
      </w:tr>
      <w:tr>
        <w:tc>
          <w:tcPr>
            <w:tcW w:type="dxa" w:w="4986"/>
            <w:vAlign w:val="center"/>
            <w:tcMar>
              <w:top w:w="90" w:type="dxa"/>
              <w:start w:w="90" w:type="dxa"/>
              <w:bottom w:w="90" w:type="dxa"/>
              <w:end w:w="90" w:type="dxa"/>
            </w:tcMar>
            <w:shd w:fill="F4F7FA"/>
          </w:tcPr>
          <w:p>
            <w:r>
              <w:rPr>
                <w:sz w:val="18"/>
              </w:rPr>
              <w:t>App version</w:t>
            </w:r>
          </w:p>
        </w:tc>
        <w:tc>
          <w:tcPr>
            <w:tcW w:type="dxa" w:w="4986"/>
            <w:vAlign w:val="center"/>
            <w:tcMar>
              <w:top w:w="90" w:type="dxa"/>
              <w:start w:w="90" w:type="dxa"/>
              <w:bottom w:w="90" w:type="dxa"/>
              <w:end w:w="90" w:type="dxa"/>
            </w:tcMar>
            <w:shd w:fill="F4F7FA"/>
          </w:tcPr>
          <w:p>
            <w:r>
              <w:rPr>
                <w:sz w:val="18"/>
              </w:rPr>
              <w:t>Compare releases and identify version-specific changes</w:t>
            </w:r>
          </w:p>
        </w:tc>
      </w:tr>
      <w:tr>
        <w:tc>
          <w:tcPr>
            <w:tcW w:type="dxa" w:w="4986"/>
            <w:vAlign w:val="center"/>
            <w:tcMar>
              <w:top w:w="90" w:type="dxa"/>
              <w:start w:w="90" w:type="dxa"/>
              <w:bottom w:w="90" w:type="dxa"/>
              <w:end w:w="90" w:type="dxa"/>
            </w:tcMar>
          </w:tcPr>
          <w:p>
            <w:r>
              <w:rPr>
                <w:sz w:val="18"/>
              </w:rPr>
              <w:t>OS version</w:t>
            </w:r>
          </w:p>
        </w:tc>
        <w:tc>
          <w:tcPr>
            <w:tcW w:type="dxa" w:w="4986"/>
            <w:vAlign w:val="center"/>
            <w:tcMar>
              <w:top w:w="90" w:type="dxa"/>
              <w:start w:w="90" w:type="dxa"/>
              <w:bottom w:w="90" w:type="dxa"/>
              <w:end w:w="90" w:type="dxa"/>
            </w:tcMar>
          </w:tcPr>
          <w:p>
            <w:r>
              <w:rPr>
                <w:sz w:val="18"/>
              </w:rPr>
              <w:t>Segment platform behavior</w:t>
            </w:r>
          </w:p>
        </w:tc>
      </w:tr>
      <w:tr>
        <w:tc>
          <w:tcPr>
            <w:tcW w:type="dxa" w:w="4986"/>
            <w:vAlign w:val="center"/>
            <w:tcMar>
              <w:top w:w="90" w:type="dxa"/>
              <w:start w:w="90" w:type="dxa"/>
              <w:bottom w:w="90" w:type="dxa"/>
              <w:end w:w="90" w:type="dxa"/>
            </w:tcMar>
            <w:shd w:fill="F4F7FA"/>
          </w:tcPr>
          <w:p>
            <w:r>
              <w:rPr>
                <w:sz w:val="18"/>
              </w:rPr>
              <w:t>Device model</w:t>
            </w:r>
          </w:p>
        </w:tc>
        <w:tc>
          <w:tcPr>
            <w:tcW w:type="dxa" w:w="4986"/>
            <w:vAlign w:val="center"/>
            <w:tcMar>
              <w:top w:w="90" w:type="dxa"/>
              <w:start w:w="90" w:type="dxa"/>
              <w:bottom w:w="90" w:type="dxa"/>
              <w:end w:w="90" w:type="dxa"/>
            </w:tcMar>
            <w:shd w:fill="F4F7FA"/>
          </w:tcPr>
          <w:p>
            <w:r>
              <w:rPr>
                <w:sz w:val="18"/>
              </w:rPr>
              <w:t>Identify device-specific differences</w:t>
            </w:r>
          </w:p>
        </w:tc>
      </w:tr>
      <w:tr>
        <w:tc>
          <w:tcPr>
            <w:tcW w:type="dxa" w:w="4986"/>
            <w:vAlign w:val="center"/>
            <w:tcMar>
              <w:top w:w="90" w:type="dxa"/>
              <w:start w:w="90" w:type="dxa"/>
              <w:bottom w:w="90" w:type="dxa"/>
              <w:end w:w="90" w:type="dxa"/>
            </w:tcMar>
          </w:tcPr>
          <w:p>
            <w:r>
              <w:rPr>
                <w:sz w:val="18"/>
              </w:rPr>
              <w:t>Country</w:t>
            </w:r>
          </w:p>
        </w:tc>
        <w:tc>
          <w:tcPr>
            <w:tcW w:type="dxa" w:w="4986"/>
            <w:vAlign w:val="center"/>
            <w:tcMar>
              <w:top w:w="90" w:type="dxa"/>
              <w:start w:w="90" w:type="dxa"/>
              <w:bottom w:w="90" w:type="dxa"/>
              <w:end w:w="90" w:type="dxa"/>
            </w:tcMar>
          </w:tcPr>
          <w:p>
            <w:r>
              <w:rPr>
                <w:sz w:val="18"/>
              </w:rPr>
              <w:t>Review geographic performance</w:t>
            </w:r>
          </w:p>
        </w:tc>
      </w:tr>
      <w:tr>
        <w:tc>
          <w:tcPr>
            <w:tcW w:type="dxa" w:w="4986"/>
            <w:vAlign w:val="center"/>
            <w:tcMar>
              <w:top w:w="90" w:type="dxa"/>
              <w:start w:w="90" w:type="dxa"/>
              <w:bottom w:w="90" w:type="dxa"/>
              <w:end w:w="90" w:type="dxa"/>
            </w:tcMar>
            <w:shd w:fill="F4F7FA"/>
          </w:tcPr>
          <w:p>
            <w:r>
              <w:rPr>
                <w:sz w:val="18"/>
              </w:rPr>
              <w:t>Level</w:t>
            </w:r>
          </w:p>
        </w:tc>
        <w:tc>
          <w:tcPr>
            <w:tcW w:type="dxa" w:w="4986"/>
            <w:vAlign w:val="center"/>
            <w:tcMar>
              <w:top w:w="90" w:type="dxa"/>
              <w:start w:w="90" w:type="dxa"/>
              <w:bottom w:w="90" w:type="dxa"/>
              <w:end w:w="90" w:type="dxa"/>
            </w:tcMar>
            <w:shd w:fill="F4F7FA"/>
          </w:tcPr>
          <w:p>
            <w:r>
              <w:rPr>
                <w:sz w:val="18"/>
              </w:rPr>
              <w:t>Focus gameplay metrics on a selected level</w:t>
            </w:r>
          </w:p>
        </w:tc>
      </w:tr>
    </w:tbl>
    <w:p/>
    <w:p>
      <w:pPr>
        <w:pStyle w:val="Heading1"/>
        <w:spacing w:before="240" w:after="80"/>
      </w:pPr>
      <w:r>
        <w:rPr>
          <w:color w:val="1F4E78"/>
        </w:rPr>
        <w:t>7. KPI Definitions and Formulas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KPI</w:t>
            </w:r>
          </w:p>
        </w:tc>
        <w:tc>
          <w:tcPr>
            <w:tcW w:type="dxa" w:w="4986"/>
            <w:shd w:fill="2F75B5"/>
            <w:vAlign w:val="center"/>
            <w:tcMar>
              <w:top w:w="90" w:type="dxa"/>
              <w:start w:w="90" w:type="dxa"/>
              <w:bottom w:w="90" w:type="dxa"/>
              <w:end w:w="90" w:type="dxa"/>
            </w:tcMar>
          </w:tcPr>
          <w:p>
            <w:r>
              <w:rPr>
                <w:b/>
                <w:color w:val="FFFFFF"/>
                <w:sz w:val="19"/>
              </w:rPr>
              <w:t>Definition or formula</w:t>
            </w:r>
          </w:p>
        </w:tc>
      </w:tr>
      <w:tr>
        <w:tc>
          <w:tcPr>
            <w:tcW w:type="dxa" w:w="4986"/>
            <w:vAlign w:val="center"/>
            <w:tcMar>
              <w:top w:w="90" w:type="dxa"/>
              <w:start w:w="90" w:type="dxa"/>
              <w:bottom w:w="90" w:type="dxa"/>
              <w:end w:w="90" w:type="dxa"/>
            </w:tcMar>
          </w:tcPr>
          <w:p>
            <w:r>
              <w:rPr>
                <w:sz w:val="18"/>
              </w:rPr>
              <w:t>Engagement rate</w:t>
            </w:r>
          </w:p>
        </w:tc>
        <w:tc>
          <w:tcPr>
            <w:tcW w:type="dxa" w:w="4986"/>
            <w:vAlign w:val="center"/>
            <w:tcMar>
              <w:top w:w="90" w:type="dxa"/>
              <w:start w:w="90" w:type="dxa"/>
              <w:bottom w:w="90" w:type="dxa"/>
              <w:end w:w="90" w:type="dxa"/>
            </w:tcMar>
          </w:tcPr>
          <w:p>
            <w:r>
              <w:rPr>
                <w:sz w:val="18"/>
              </w:rPr>
              <w:t>Engaged sessions / Sessions x 100</w:t>
            </w:r>
          </w:p>
        </w:tc>
      </w:tr>
      <w:tr>
        <w:tc>
          <w:tcPr>
            <w:tcW w:type="dxa" w:w="4986"/>
            <w:vAlign w:val="center"/>
            <w:tcMar>
              <w:top w:w="90" w:type="dxa"/>
              <w:start w:w="90" w:type="dxa"/>
              <w:bottom w:w="90" w:type="dxa"/>
              <w:end w:w="90" w:type="dxa"/>
            </w:tcMar>
            <w:shd w:fill="F4F7FA"/>
          </w:tcPr>
          <w:p>
            <w:r>
              <w:rPr>
                <w:sz w:val="18"/>
              </w:rPr>
              <w:t>Stickiness</w:t>
            </w:r>
          </w:p>
        </w:tc>
        <w:tc>
          <w:tcPr>
            <w:tcW w:type="dxa" w:w="4986"/>
            <w:vAlign w:val="center"/>
            <w:tcMar>
              <w:top w:w="90" w:type="dxa"/>
              <w:start w:w="90" w:type="dxa"/>
              <w:bottom w:w="90" w:type="dxa"/>
              <w:end w:w="90" w:type="dxa"/>
            </w:tcMar>
            <w:shd w:fill="F4F7FA"/>
          </w:tcPr>
          <w:p>
            <w:r>
              <w:rPr>
                <w:sz w:val="18"/>
              </w:rPr>
              <w:t>DAU / MAU x 100</w:t>
            </w:r>
          </w:p>
        </w:tc>
      </w:tr>
      <w:tr>
        <w:tc>
          <w:tcPr>
            <w:tcW w:type="dxa" w:w="4986"/>
            <w:vAlign w:val="center"/>
            <w:tcMar>
              <w:top w:w="90" w:type="dxa"/>
              <w:start w:w="90" w:type="dxa"/>
              <w:bottom w:w="90" w:type="dxa"/>
              <w:end w:w="90" w:type="dxa"/>
            </w:tcMar>
          </w:tcPr>
          <w:p>
            <w:r>
              <w:rPr>
                <w:sz w:val="18"/>
              </w:rPr>
              <w:t>Onboarding completion</w:t>
            </w:r>
          </w:p>
        </w:tc>
        <w:tc>
          <w:tcPr>
            <w:tcW w:type="dxa" w:w="4986"/>
            <w:vAlign w:val="center"/>
            <w:tcMar>
              <w:top w:w="90" w:type="dxa"/>
              <w:start w:w="90" w:type="dxa"/>
              <w:bottom w:w="90" w:type="dxa"/>
              <w:end w:w="90" w:type="dxa"/>
            </w:tcMar>
          </w:tcPr>
          <w:p>
            <w:r>
              <w:rPr>
                <w:sz w:val="18"/>
              </w:rPr>
              <w:t>Users completing onboarding / Users starting onboarding x 100</w:t>
            </w:r>
          </w:p>
        </w:tc>
      </w:tr>
      <w:tr>
        <w:tc>
          <w:tcPr>
            <w:tcW w:type="dxa" w:w="4986"/>
            <w:vAlign w:val="center"/>
            <w:tcMar>
              <w:top w:w="90" w:type="dxa"/>
              <w:start w:w="90" w:type="dxa"/>
              <w:bottom w:w="90" w:type="dxa"/>
              <w:end w:w="90" w:type="dxa"/>
            </w:tcMar>
            <w:shd w:fill="F4F7FA"/>
          </w:tcPr>
          <w:p>
            <w:r>
              <w:rPr>
                <w:sz w:val="18"/>
              </w:rPr>
              <w:t>Level completion</w:t>
            </w:r>
          </w:p>
        </w:tc>
        <w:tc>
          <w:tcPr>
            <w:tcW w:type="dxa" w:w="4986"/>
            <w:vAlign w:val="center"/>
            <w:tcMar>
              <w:top w:w="90" w:type="dxa"/>
              <w:start w:w="90" w:type="dxa"/>
              <w:bottom w:w="90" w:type="dxa"/>
              <w:end w:w="90" w:type="dxa"/>
            </w:tcMar>
            <w:shd w:fill="F4F7FA"/>
          </w:tcPr>
          <w:p>
            <w:r>
              <w:rPr>
                <w:sz w:val="18"/>
              </w:rPr>
              <w:t>Completed level events / Started level events x 100</w:t>
            </w:r>
          </w:p>
        </w:tc>
      </w:tr>
      <w:tr>
        <w:tc>
          <w:tcPr>
            <w:tcW w:type="dxa" w:w="4986"/>
            <w:vAlign w:val="center"/>
            <w:tcMar>
              <w:top w:w="90" w:type="dxa"/>
              <w:start w:w="90" w:type="dxa"/>
              <w:bottom w:w="90" w:type="dxa"/>
              <w:end w:w="90" w:type="dxa"/>
            </w:tcMar>
          </w:tcPr>
          <w:p>
            <w:r>
              <w:rPr>
                <w:sz w:val="18"/>
              </w:rPr>
              <w:t>Level drop-off</w:t>
            </w:r>
          </w:p>
        </w:tc>
        <w:tc>
          <w:tcPr>
            <w:tcW w:type="dxa" w:w="4986"/>
            <w:vAlign w:val="center"/>
            <w:tcMar>
              <w:top w:w="90" w:type="dxa"/>
              <w:start w:w="90" w:type="dxa"/>
              <w:bottom w:w="90" w:type="dxa"/>
              <w:end w:w="90" w:type="dxa"/>
            </w:tcMar>
          </w:tcPr>
          <w:p>
            <w:r>
              <w:rPr>
                <w:sz w:val="18"/>
              </w:rPr>
              <w:t>(Level starts - Level completions) / Level starts x 100</w:t>
            </w:r>
          </w:p>
        </w:tc>
      </w:tr>
      <w:tr>
        <w:tc>
          <w:tcPr>
            <w:tcW w:type="dxa" w:w="4986"/>
            <w:vAlign w:val="center"/>
            <w:tcMar>
              <w:top w:w="90" w:type="dxa"/>
              <w:start w:w="90" w:type="dxa"/>
              <w:bottom w:w="90" w:type="dxa"/>
              <w:end w:w="90" w:type="dxa"/>
            </w:tcMar>
            <w:shd w:fill="F4F7FA"/>
          </w:tcPr>
          <w:p>
            <w:r>
              <w:rPr>
                <w:sz w:val="18"/>
              </w:rPr>
              <w:t>Failure rate</w:t>
            </w:r>
          </w:p>
        </w:tc>
        <w:tc>
          <w:tcPr>
            <w:tcW w:type="dxa" w:w="4986"/>
            <w:vAlign w:val="center"/>
            <w:tcMar>
              <w:top w:w="90" w:type="dxa"/>
              <w:start w:w="90" w:type="dxa"/>
              <w:bottom w:w="90" w:type="dxa"/>
              <w:end w:w="90" w:type="dxa"/>
            </w:tcMar>
            <w:shd w:fill="F4F7FA"/>
          </w:tcPr>
          <w:p>
            <w:r>
              <w:rPr>
                <w:sz w:val="18"/>
              </w:rPr>
              <w:t>Failed events / Started events x 100</w:t>
            </w:r>
          </w:p>
        </w:tc>
      </w:tr>
      <w:tr>
        <w:tc>
          <w:tcPr>
            <w:tcW w:type="dxa" w:w="4986"/>
            <w:vAlign w:val="center"/>
            <w:tcMar>
              <w:top w:w="90" w:type="dxa"/>
              <w:start w:w="90" w:type="dxa"/>
              <w:bottom w:w="90" w:type="dxa"/>
              <w:end w:w="90" w:type="dxa"/>
            </w:tcMar>
          </w:tcPr>
          <w:p>
            <w:r>
              <w:rPr>
                <w:sz w:val="18"/>
              </w:rPr>
              <w:t>Skip rate</w:t>
            </w:r>
          </w:p>
        </w:tc>
        <w:tc>
          <w:tcPr>
            <w:tcW w:type="dxa" w:w="4986"/>
            <w:vAlign w:val="center"/>
            <w:tcMar>
              <w:top w:w="90" w:type="dxa"/>
              <w:start w:w="90" w:type="dxa"/>
              <w:bottom w:w="90" w:type="dxa"/>
              <w:end w:w="90" w:type="dxa"/>
            </w:tcMar>
          </w:tcPr>
          <w:p>
            <w:r>
              <w:rPr>
                <w:sz w:val="18"/>
              </w:rPr>
              <w:t>Skipped events / Started events x 100</w:t>
            </w:r>
          </w:p>
        </w:tc>
      </w:tr>
      <w:tr>
        <w:tc>
          <w:tcPr>
            <w:tcW w:type="dxa" w:w="4986"/>
            <w:vAlign w:val="center"/>
            <w:tcMar>
              <w:top w:w="90" w:type="dxa"/>
              <w:start w:w="90" w:type="dxa"/>
              <w:bottom w:w="90" w:type="dxa"/>
              <w:end w:w="90" w:type="dxa"/>
            </w:tcMar>
            <w:shd w:fill="F4F7FA"/>
          </w:tcPr>
          <w:p>
            <w:r>
              <w:rPr>
                <w:sz w:val="18"/>
              </w:rPr>
              <w:t>Exact Day N retention</w:t>
            </w:r>
          </w:p>
        </w:tc>
        <w:tc>
          <w:tcPr>
            <w:tcW w:type="dxa" w:w="4986"/>
            <w:vAlign w:val="center"/>
            <w:tcMar>
              <w:top w:w="90" w:type="dxa"/>
              <w:start w:w="90" w:type="dxa"/>
              <w:bottom w:w="90" w:type="dxa"/>
              <w:end w:w="90" w:type="dxa"/>
            </w:tcMar>
            <w:shd w:fill="F4F7FA"/>
          </w:tcPr>
          <w:p>
            <w:r>
              <w:rPr>
                <w:sz w:val="18"/>
              </w:rPr>
              <w:t>Day 0 cohort users active exactly on Day N / Day 0 cohort users x 100</w:t>
            </w:r>
          </w:p>
        </w:tc>
      </w:tr>
      <w:tr>
        <w:tc>
          <w:tcPr>
            <w:tcW w:type="dxa" w:w="4986"/>
            <w:vAlign w:val="center"/>
            <w:tcMar>
              <w:top w:w="90" w:type="dxa"/>
              <w:start w:w="90" w:type="dxa"/>
              <w:bottom w:w="90" w:type="dxa"/>
              <w:end w:w="90" w:type="dxa"/>
            </w:tcMar>
          </w:tcPr>
          <w:p>
            <w:r>
              <w:rPr>
                <w:sz w:val="18"/>
              </w:rPr>
              <w:t>Rolling Day N+ retention</w:t>
            </w:r>
          </w:p>
        </w:tc>
        <w:tc>
          <w:tcPr>
            <w:tcW w:type="dxa" w:w="4986"/>
            <w:vAlign w:val="center"/>
            <w:tcMar>
              <w:top w:w="90" w:type="dxa"/>
              <w:start w:w="90" w:type="dxa"/>
              <w:bottom w:w="90" w:type="dxa"/>
              <w:end w:w="90" w:type="dxa"/>
            </w:tcMar>
          </w:tcPr>
          <w:p>
            <w:r>
              <w:rPr>
                <w:sz w:val="18"/>
              </w:rPr>
              <w:t>Day 0 cohort users active on Day N or any later day / Day 0 cohort users x 100</w:t>
            </w:r>
          </w:p>
        </w:tc>
      </w:tr>
    </w:tbl>
    <w:p/>
    <w:p>
      <w:pPr>
        <w:pStyle w:val="Heading1"/>
        <w:spacing w:before="240" w:after="80"/>
      </w:pPr>
      <w:r>
        <w:rPr>
          <w:color w:val="1F4E78"/>
        </w:rPr>
        <w:t>8. GA4 and BigQuery Data Methodology</w:t>
      </w:r>
    </w:p>
    <w:p>
      <w:pPr>
        <w:pStyle w:val="Heading2"/>
        <w:spacing w:before="160" w:after="80"/>
      </w:pPr>
      <w:r>
        <w:rPr>
          <w:color w:val="2F75B5"/>
        </w:rPr>
        <w:t>8.1 GA4 Data API</w:t>
      </w:r>
    </w:p>
    <w:p>
      <w:pPr>
        <w:spacing w:after="120"/>
      </w:pPr>
      <w:r>
        <w:t>The GA4 Data API supplies aggregated reporting including active users, new users, sessions, engaged sessions, event counts, registered custom dimensions, registered custom metrics, funnels, filters, and standard cohort-style metrics. It follows GA4 reporting definitions and privacy controls.</w:t>
      </w:r>
    </w:p>
    <w:p>
      <w:pPr>
        <w:pStyle w:val="Heading2"/>
        <w:spacing w:before="160" w:after="80"/>
      </w:pPr>
      <w:r>
        <w:rPr>
          <w:color w:val="2F75B5"/>
        </w:rPr>
        <w:t>8.2 BigQuery GA4 Export</w:t>
      </w:r>
    </w:p>
    <w:p>
      <w:pPr>
        <w:spacing w:after="120"/>
      </w:pPr>
      <w:r>
        <w:t>BigQuery is used where exact user-level event history is required. The retention service scans the GA4 events_* export, derives each user's Day 0 cohort from first activity, calculates later activity offsets, and counts distinct user_pseudo_id values. This produces exact rolling retention rather than an aggregate estimate.</w:t>
      </w:r>
    </w:p>
    <w:p>
      <w:pPr>
        <w:pStyle w:val="Heading2"/>
        <w:spacing w:before="160" w:after="80"/>
      </w:pPr>
      <w:r>
        <w:rPr>
          <w:color w:val="2F75B5"/>
        </w:rPr>
        <w:t>8.3 Rolling Retention</w:t>
      </w:r>
    </w:p>
    <w:p>
      <w:pPr>
        <w:spacing w:after="120"/>
      </w:pPr>
      <w:r>
        <w:t>Rolling Day N+ retention measures whether a user from a Day 0 cohort returned on Day N or any later day. A cohort day is displayed only when enough time has elapsed to mature. The All Users result is a weighted aggregate of eligible cohorts, preventing small cohorts from distorting the overall percentage.</w:t>
      </w:r>
    </w:p>
    <w:p>
      <w:pPr>
        <w:pStyle w:val="Heading1"/>
        <w:spacing w:before="240" w:after="80"/>
      </w:pPr>
      <w:r>
        <w:rPr>
          <w:color w:val="1F4E78"/>
        </w:rPr>
        <w:t>9. Validation Results</w:t>
      </w:r>
    </w:p>
    <w:p>
      <w:pPr>
        <w:spacing w:after="120"/>
      </w:pPr>
      <w:r>
        <w:t>Validation timestamp: 17 August 2026 IST. These values were refreshed from the live Render service before this report was generated. Values can move as GA4 processes new events and as the selected dashboard date range changes.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Live measure</w:t>
            </w:r>
          </w:p>
        </w:tc>
        <w:tc>
          <w:tcPr>
            <w:tcW w:type="dxa" w:w="4986"/>
            <w:shd w:fill="2F75B5"/>
            <w:vAlign w:val="center"/>
            <w:tcMar>
              <w:top w:w="90" w:type="dxa"/>
              <w:start w:w="90" w:type="dxa"/>
              <w:bottom w:w="90" w:type="dxa"/>
              <w:end w:w="90" w:type="dxa"/>
            </w:tcMar>
          </w:tcPr>
          <w:p>
            <w:r>
              <w:rPr>
                <w:b/>
                <w:color w:val="FFFFFF"/>
                <w:sz w:val="19"/>
              </w:rPr>
              <w:t>Verified value</w:t>
            </w:r>
          </w:p>
        </w:tc>
      </w:tr>
      <w:tr>
        <w:tc>
          <w:tcPr>
            <w:tcW w:type="dxa" w:w="4986"/>
            <w:vAlign w:val="center"/>
            <w:tcMar>
              <w:top w:w="90" w:type="dxa"/>
              <w:start w:w="90" w:type="dxa"/>
              <w:bottom w:w="90" w:type="dxa"/>
              <w:end w:w="90" w:type="dxa"/>
            </w:tcMar>
          </w:tcPr>
          <w:p>
            <w:r>
              <w:rPr>
                <w:sz w:val="18"/>
              </w:rPr>
              <w:t>GA4 connection</w:t>
            </w:r>
          </w:p>
        </w:tc>
        <w:tc>
          <w:tcPr>
            <w:tcW w:type="dxa" w:w="4986"/>
            <w:vAlign w:val="center"/>
            <w:tcMar>
              <w:top w:w="90" w:type="dxa"/>
              <w:start w:w="90" w:type="dxa"/>
              <w:bottom w:w="90" w:type="dxa"/>
              <w:end w:w="90" w:type="dxa"/>
            </w:tcMar>
          </w:tcPr>
          <w:p>
            <w:r>
              <w:rPr>
                <w:sz w:val="18"/>
              </w:rPr>
              <w:t>Connected</w:t>
            </w:r>
          </w:p>
        </w:tc>
      </w:tr>
      <w:tr>
        <w:tc>
          <w:tcPr>
            <w:tcW w:type="dxa" w:w="4986"/>
            <w:vAlign w:val="center"/>
            <w:tcMar>
              <w:top w:w="90" w:type="dxa"/>
              <w:start w:w="90" w:type="dxa"/>
              <w:bottom w:w="90" w:type="dxa"/>
              <w:end w:w="90" w:type="dxa"/>
            </w:tcMar>
            <w:shd w:fill="F4F7FA"/>
          </w:tcPr>
          <w:p>
            <w:r>
              <w:rPr>
                <w:sz w:val="18"/>
              </w:rPr>
              <w:t>Day 0 cohort users</w:t>
            </w:r>
          </w:p>
        </w:tc>
        <w:tc>
          <w:tcPr>
            <w:tcW w:type="dxa" w:w="4986"/>
            <w:vAlign w:val="center"/>
            <w:tcMar>
              <w:top w:w="90" w:type="dxa"/>
              <w:start w:w="90" w:type="dxa"/>
              <w:bottom w:w="90" w:type="dxa"/>
              <w:end w:w="90" w:type="dxa"/>
            </w:tcMar>
            <w:shd w:fill="F4F7FA"/>
          </w:tcPr>
          <w:p>
            <w:r>
              <w:rPr>
                <w:sz w:val="18"/>
              </w:rPr>
              <w:t>123</w:t>
            </w:r>
          </w:p>
        </w:tc>
      </w:tr>
      <w:tr>
        <w:tc>
          <w:tcPr>
            <w:tcW w:type="dxa" w:w="4986"/>
            <w:vAlign w:val="center"/>
            <w:tcMar>
              <w:top w:w="90" w:type="dxa"/>
              <w:start w:w="90" w:type="dxa"/>
              <w:bottom w:w="90" w:type="dxa"/>
              <w:end w:w="90" w:type="dxa"/>
            </w:tcMar>
          </w:tcPr>
          <w:p>
            <w:r>
              <w:rPr>
                <w:sz w:val="18"/>
              </w:rPr>
              <w:t>Active users - selected range</w:t>
            </w:r>
          </w:p>
        </w:tc>
        <w:tc>
          <w:tcPr>
            <w:tcW w:type="dxa" w:w="4986"/>
            <w:vAlign w:val="center"/>
            <w:tcMar>
              <w:top w:w="90" w:type="dxa"/>
              <w:start w:w="90" w:type="dxa"/>
              <w:bottom w:w="90" w:type="dxa"/>
              <w:end w:w="90" w:type="dxa"/>
            </w:tcMar>
          </w:tcPr>
          <w:p>
            <w:r>
              <w:rPr>
                <w:sz w:val="18"/>
              </w:rPr>
              <w:t>Live dashboard range dependent</w:t>
            </w:r>
          </w:p>
        </w:tc>
      </w:tr>
      <w:tr>
        <w:tc>
          <w:tcPr>
            <w:tcW w:type="dxa" w:w="4986"/>
            <w:vAlign w:val="center"/>
            <w:tcMar>
              <w:top w:w="90" w:type="dxa"/>
              <w:start w:w="90" w:type="dxa"/>
              <w:bottom w:w="90" w:type="dxa"/>
              <w:end w:w="90" w:type="dxa"/>
            </w:tcMar>
            <w:shd w:fill="F4F7FA"/>
          </w:tcPr>
          <w:p>
            <w:r>
              <w:rPr>
                <w:sz w:val="18"/>
              </w:rPr>
              <w:t>DAU / WAU / MAU</w:t>
            </w:r>
          </w:p>
        </w:tc>
        <w:tc>
          <w:tcPr>
            <w:tcW w:type="dxa" w:w="4986"/>
            <w:vAlign w:val="center"/>
            <w:tcMar>
              <w:top w:w="90" w:type="dxa"/>
              <w:start w:w="90" w:type="dxa"/>
              <w:bottom w:w="90" w:type="dxa"/>
              <w:end w:w="90" w:type="dxa"/>
            </w:tcMar>
            <w:shd w:fill="F4F7FA"/>
          </w:tcPr>
          <w:p>
            <w:r>
              <w:rPr>
                <w:sz w:val="18"/>
              </w:rPr>
              <w:t>24 / 125 / 396</w:t>
            </w:r>
          </w:p>
        </w:tc>
      </w:tr>
      <w:tr>
        <w:tc>
          <w:tcPr>
            <w:tcW w:type="dxa" w:w="4986"/>
            <w:vAlign w:val="center"/>
            <w:tcMar>
              <w:top w:w="90" w:type="dxa"/>
              <w:start w:w="90" w:type="dxa"/>
              <w:bottom w:w="90" w:type="dxa"/>
              <w:end w:w="90" w:type="dxa"/>
            </w:tcMar>
          </w:tcPr>
          <w:p>
            <w:r>
              <w:rPr>
                <w:sz w:val="18"/>
              </w:rPr>
              <w:t>Stickiness</w:t>
            </w:r>
          </w:p>
        </w:tc>
        <w:tc>
          <w:tcPr>
            <w:tcW w:type="dxa" w:w="4986"/>
            <w:vAlign w:val="center"/>
            <w:tcMar>
              <w:top w:w="90" w:type="dxa"/>
              <w:start w:w="90" w:type="dxa"/>
              <w:bottom w:w="90" w:type="dxa"/>
              <w:end w:w="90" w:type="dxa"/>
            </w:tcMar>
          </w:tcPr>
          <w:p>
            <w:r>
              <w:rPr>
                <w:sz w:val="18"/>
              </w:rPr>
              <w:t>6.06%</w:t>
            </w:r>
          </w:p>
        </w:tc>
      </w:tr>
      <w:tr>
        <w:tc>
          <w:tcPr>
            <w:tcW w:type="dxa" w:w="4986"/>
            <w:vAlign w:val="center"/>
            <w:tcMar>
              <w:top w:w="90" w:type="dxa"/>
              <w:start w:w="90" w:type="dxa"/>
              <w:bottom w:w="90" w:type="dxa"/>
              <w:end w:w="90" w:type="dxa"/>
            </w:tcMar>
            <w:shd w:fill="F4F7FA"/>
          </w:tcPr>
          <w:p>
            <w:r>
              <w:rPr>
                <w:sz w:val="18"/>
              </w:rPr>
              <w:t>Sessions / Engaged sessions</w:t>
            </w:r>
          </w:p>
        </w:tc>
        <w:tc>
          <w:tcPr>
            <w:tcW w:type="dxa" w:w="4986"/>
            <w:vAlign w:val="center"/>
            <w:tcMar>
              <w:top w:w="90" w:type="dxa"/>
              <w:start w:w="90" w:type="dxa"/>
              <w:bottom w:w="90" w:type="dxa"/>
              <w:end w:w="90" w:type="dxa"/>
            </w:tcMar>
            <w:shd w:fill="F4F7FA"/>
          </w:tcPr>
          <w:p>
            <w:r>
              <w:rPr>
                <w:sz w:val="18"/>
              </w:rPr>
              <w:t>1,752 / 1,315</w:t>
            </w:r>
          </w:p>
        </w:tc>
      </w:tr>
      <w:tr>
        <w:tc>
          <w:tcPr>
            <w:tcW w:type="dxa" w:w="4986"/>
            <w:vAlign w:val="center"/>
            <w:tcMar>
              <w:top w:w="90" w:type="dxa"/>
              <w:start w:w="90" w:type="dxa"/>
              <w:bottom w:w="90" w:type="dxa"/>
              <w:end w:w="90" w:type="dxa"/>
            </w:tcMar>
          </w:tcPr>
          <w:p>
            <w:r>
              <w:rPr>
                <w:sz w:val="18"/>
              </w:rPr>
              <w:t>Returning users</w:t>
            </w:r>
          </w:p>
        </w:tc>
        <w:tc>
          <w:tcPr>
            <w:tcW w:type="dxa" w:w="4986"/>
            <w:vAlign w:val="center"/>
            <w:tcMar>
              <w:top w:w="90" w:type="dxa"/>
              <w:start w:w="90" w:type="dxa"/>
              <w:bottom w:w="90" w:type="dxa"/>
              <w:end w:w="90" w:type="dxa"/>
            </w:tcMar>
          </w:tcPr>
          <w:p>
            <w:r>
              <w:rPr>
                <w:sz w:val="18"/>
              </w:rPr>
              <w:t>346</w:t>
            </w:r>
          </w:p>
        </w:tc>
      </w:tr>
      <w:tr>
        <w:tc>
          <w:tcPr>
            <w:tcW w:type="dxa" w:w="4986"/>
            <w:vAlign w:val="center"/>
            <w:tcMar>
              <w:top w:w="90" w:type="dxa"/>
              <w:start w:w="90" w:type="dxa"/>
              <w:bottom w:w="90" w:type="dxa"/>
              <w:end w:w="90" w:type="dxa"/>
            </w:tcMar>
            <w:shd w:fill="F4F7FA"/>
          </w:tcPr>
          <w:p>
            <w:r>
              <w:rPr>
                <w:sz w:val="18"/>
              </w:rPr>
              <w:t>Day 1 retention</w:t>
            </w:r>
          </w:p>
        </w:tc>
        <w:tc>
          <w:tcPr>
            <w:tcW w:type="dxa" w:w="4986"/>
            <w:vAlign w:val="center"/>
            <w:tcMar>
              <w:top w:w="90" w:type="dxa"/>
              <w:start w:w="90" w:type="dxa"/>
              <w:bottom w:w="90" w:type="dxa"/>
              <w:end w:w="90" w:type="dxa"/>
            </w:tcMar>
            <w:shd w:fill="F4F7FA"/>
          </w:tcPr>
          <w:p>
            <w:r>
              <w:rPr>
                <w:sz w:val="18"/>
              </w:rPr>
              <w:t>15.45%</w:t>
            </w:r>
          </w:p>
        </w:tc>
      </w:tr>
      <w:tr>
        <w:tc>
          <w:tcPr>
            <w:tcW w:type="dxa" w:w="4986"/>
            <w:vAlign w:val="center"/>
            <w:tcMar>
              <w:top w:w="90" w:type="dxa"/>
              <w:start w:w="90" w:type="dxa"/>
              <w:bottom w:w="90" w:type="dxa"/>
              <w:end w:w="90" w:type="dxa"/>
            </w:tcMar>
          </w:tcPr>
          <w:p>
            <w:r>
              <w:rPr>
                <w:sz w:val="18"/>
              </w:rPr>
              <w:t>Day 3 retention</w:t>
            </w:r>
          </w:p>
        </w:tc>
        <w:tc>
          <w:tcPr>
            <w:tcW w:type="dxa" w:w="4986"/>
            <w:vAlign w:val="center"/>
            <w:tcMar>
              <w:top w:w="90" w:type="dxa"/>
              <w:start w:w="90" w:type="dxa"/>
              <w:bottom w:w="90" w:type="dxa"/>
              <w:end w:w="90" w:type="dxa"/>
            </w:tcMar>
          </w:tcPr>
          <w:p>
            <w:r>
              <w:rPr>
                <w:sz w:val="18"/>
              </w:rPr>
              <w:t>2.44%</w:t>
            </w:r>
          </w:p>
        </w:tc>
      </w:tr>
      <w:tr>
        <w:tc>
          <w:tcPr>
            <w:tcW w:type="dxa" w:w="4986"/>
            <w:vAlign w:val="center"/>
            <w:tcMar>
              <w:top w:w="90" w:type="dxa"/>
              <w:start w:w="90" w:type="dxa"/>
              <w:bottom w:w="90" w:type="dxa"/>
              <w:end w:w="90" w:type="dxa"/>
            </w:tcMar>
            <w:shd w:fill="F4F7FA"/>
          </w:tcPr>
          <w:p>
            <w:r>
              <w:rPr>
                <w:sz w:val="18"/>
              </w:rPr>
              <w:t>Day 7 retention</w:t>
            </w:r>
          </w:p>
        </w:tc>
        <w:tc>
          <w:tcPr>
            <w:tcW w:type="dxa" w:w="4986"/>
            <w:vAlign w:val="center"/>
            <w:tcMar>
              <w:top w:w="90" w:type="dxa"/>
              <w:start w:w="90" w:type="dxa"/>
              <w:bottom w:w="90" w:type="dxa"/>
              <w:end w:w="90" w:type="dxa"/>
            </w:tcMar>
            <w:shd w:fill="F4F7FA"/>
          </w:tcPr>
          <w:p>
            <w:r>
              <w:rPr>
                <w:sz w:val="18"/>
              </w:rPr>
              <w:t>0.81%</w:t>
            </w:r>
          </w:p>
        </w:tc>
      </w:tr>
      <w:tr>
        <w:tc>
          <w:tcPr>
            <w:tcW w:type="dxa" w:w="4986"/>
            <w:vAlign w:val="center"/>
            <w:tcMar>
              <w:top w:w="90" w:type="dxa"/>
              <w:start w:w="90" w:type="dxa"/>
              <w:bottom w:w="90" w:type="dxa"/>
              <w:end w:w="90" w:type="dxa"/>
            </w:tcMar>
          </w:tcPr>
          <w:p>
            <w:r>
              <w:rPr>
                <w:sz w:val="18"/>
              </w:rPr>
              <w:t>Day 15 retention</w:t>
            </w:r>
          </w:p>
        </w:tc>
        <w:tc>
          <w:tcPr>
            <w:tcW w:type="dxa" w:w="4986"/>
            <w:vAlign w:val="center"/>
            <w:tcMar>
              <w:top w:w="90" w:type="dxa"/>
              <w:start w:w="90" w:type="dxa"/>
              <w:bottom w:w="90" w:type="dxa"/>
              <w:end w:w="90" w:type="dxa"/>
            </w:tcMar>
          </w:tcPr>
          <w:p>
            <w:r>
              <w:rPr>
                <w:sz w:val="18"/>
              </w:rPr>
              <w:t>0.00% (0 users)</w:t>
            </w:r>
          </w:p>
        </w:tc>
      </w:tr>
      <w:tr>
        <w:tc>
          <w:tcPr>
            <w:tcW w:type="dxa" w:w="4986"/>
            <w:vAlign w:val="center"/>
            <w:tcMar>
              <w:top w:w="90" w:type="dxa"/>
              <w:start w:w="90" w:type="dxa"/>
              <w:bottom w:w="90" w:type="dxa"/>
              <w:end w:w="90" w:type="dxa"/>
            </w:tcMar>
            <w:shd w:fill="F4F7FA"/>
          </w:tcPr>
          <w:p>
            <w:r>
              <w:rPr>
                <w:sz w:val="18"/>
              </w:rPr>
              <w:t>Rolling cohort rows</w:t>
            </w:r>
          </w:p>
        </w:tc>
        <w:tc>
          <w:tcPr>
            <w:tcW w:type="dxa" w:w="4986"/>
            <w:vAlign w:val="center"/>
            <w:tcMar>
              <w:top w:w="90" w:type="dxa"/>
              <w:start w:w="90" w:type="dxa"/>
              <w:bottom w:w="90" w:type="dxa"/>
              <w:end w:w="90" w:type="dxa"/>
            </w:tcMar>
            <w:shd w:fill="F4F7FA"/>
          </w:tcPr>
          <w:p>
            <w:r>
              <w:rPr>
                <w:sz w:val="18"/>
              </w:rPr>
              <w:t>Returned by live retention API</w:t>
            </w:r>
          </w:p>
        </w:tc>
      </w:tr>
      <w:tr>
        <w:tc>
          <w:tcPr>
            <w:tcW w:type="dxa" w:w="4986"/>
            <w:vAlign w:val="center"/>
            <w:tcMar>
              <w:top w:w="90" w:type="dxa"/>
              <w:start w:w="90" w:type="dxa"/>
              <w:bottom w:w="90" w:type="dxa"/>
              <w:end w:w="90" w:type="dxa"/>
            </w:tcMar>
          </w:tcPr>
          <w:p>
            <w:r>
              <w:rPr>
                <w:sz w:val="18"/>
              </w:rPr>
              <w:t>Rolling data source</w:t>
            </w:r>
          </w:p>
        </w:tc>
        <w:tc>
          <w:tcPr>
            <w:tcW w:type="dxa" w:w="4986"/>
            <w:vAlign w:val="center"/>
            <w:tcMar>
              <w:top w:w="90" w:type="dxa"/>
              <w:start w:w="90" w:type="dxa"/>
              <w:bottom w:w="90" w:type="dxa"/>
              <w:end w:w="90" w:type="dxa"/>
            </w:tcMar>
          </w:tcPr>
          <w:p>
            <w:r>
              <w:rPr>
                <w:sz w:val="18"/>
              </w:rPr>
              <w:t>BigQuery exact user-level</w:t>
            </w:r>
          </w:p>
        </w:tc>
      </w:tr>
    </w:tbl>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Automated verification</w:t>
            </w:r>
          </w:p>
        </w:tc>
        <w:tc>
          <w:tcPr>
            <w:tcW w:type="dxa" w:w="4986"/>
            <w:shd w:fill="2F75B5"/>
            <w:vAlign w:val="center"/>
            <w:tcMar>
              <w:top w:w="90" w:type="dxa"/>
              <w:start w:w="90" w:type="dxa"/>
              <w:bottom w:w="90" w:type="dxa"/>
              <w:end w:w="90" w:type="dxa"/>
            </w:tcMar>
          </w:tcPr>
          <w:p>
            <w:r>
              <w:rPr>
                <w:b/>
                <w:color w:val="FFFFFF"/>
                <w:sz w:val="19"/>
              </w:rPr>
              <w:t>Result</w:t>
            </w:r>
          </w:p>
        </w:tc>
      </w:tr>
      <w:tr>
        <w:tc>
          <w:tcPr>
            <w:tcW w:type="dxa" w:w="4986"/>
            <w:vAlign w:val="center"/>
            <w:tcMar>
              <w:top w:w="90" w:type="dxa"/>
              <w:start w:w="90" w:type="dxa"/>
              <w:bottom w:w="90" w:type="dxa"/>
              <w:end w:w="90" w:type="dxa"/>
            </w:tcMar>
          </w:tcPr>
          <w:p>
            <w:r>
              <w:rPr>
                <w:sz w:val="18"/>
              </w:rPr>
              <w:t>BigQuery retention service tests</w:t>
            </w:r>
          </w:p>
        </w:tc>
        <w:tc>
          <w:tcPr>
            <w:tcW w:type="dxa" w:w="4986"/>
            <w:vAlign w:val="center"/>
            <w:tcMar>
              <w:top w:w="90" w:type="dxa"/>
              <w:start w:w="90" w:type="dxa"/>
              <w:bottom w:w="90" w:type="dxa"/>
              <w:end w:w="90" w:type="dxa"/>
            </w:tcMar>
          </w:tcPr>
          <w:p>
            <w:r>
              <w:rPr>
                <w:sz w:val="18"/>
              </w:rPr>
              <w:t>Passed</w:t>
            </w:r>
          </w:p>
        </w:tc>
      </w:tr>
      <w:tr>
        <w:tc>
          <w:tcPr>
            <w:tcW w:type="dxa" w:w="4986"/>
            <w:vAlign w:val="center"/>
            <w:tcMar>
              <w:top w:w="90" w:type="dxa"/>
              <w:start w:w="90" w:type="dxa"/>
              <w:bottom w:w="90" w:type="dxa"/>
              <w:end w:w="90" w:type="dxa"/>
            </w:tcMar>
            <w:shd w:fill="F4F7FA"/>
          </w:tcPr>
          <w:p>
            <w:r>
              <w:rPr>
                <w:sz w:val="18"/>
              </w:rPr>
              <w:t>API response tests</w:t>
            </w:r>
          </w:p>
        </w:tc>
        <w:tc>
          <w:tcPr>
            <w:tcW w:type="dxa" w:w="4986"/>
            <w:vAlign w:val="center"/>
            <w:tcMar>
              <w:top w:w="90" w:type="dxa"/>
              <w:start w:w="90" w:type="dxa"/>
              <w:bottom w:w="90" w:type="dxa"/>
              <w:end w:w="90" w:type="dxa"/>
            </w:tcMar>
            <w:shd w:fill="F4F7FA"/>
          </w:tcPr>
          <w:p>
            <w:r>
              <w:rPr>
                <w:sz w:val="18"/>
              </w:rPr>
              <w:t>Passed</w:t>
            </w:r>
          </w:p>
        </w:tc>
      </w:tr>
      <w:tr>
        <w:tc>
          <w:tcPr>
            <w:tcW w:type="dxa" w:w="4986"/>
            <w:vAlign w:val="center"/>
            <w:tcMar>
              <w:top w:w="90" w:type="dxa"/>
              <w:start w:w="90" w:type="dxa"/>
              <w:bottom w:w="90" w:type="dxa"/>
              <w:end w:w="90" w:type="dxa"/>
            </w:tcMar>
          </w:tcPr>
          <w:p>
            <w:r>
              <w:rPr>
                <w:sz w:val="18"/>
              </w:rPr>
              <w:t>Backend test total</w:t>
            </w:r>
          </w:p>
        </w:tc>
        <w:tc>
          <w:tcPr>
            <w:tcW w:type="dxa" w:w="4986"/>
            <w:vAlign w:val="center"/>
            <w:tcMar>
              <w:top w:w="90" w:type="dxa"/>
              <w:start w:w="90" w:type="dxa"/>
              <w:bottom w:w="90" w:type="dxa"/>
              <w:end w:w="90" w:type="dxa"/>
            </w:tcMar>
          </w:tcPr>
          <w:p>
            <w:r>
              <w:rPr>
                <w:sz w:val="18"/>
              </w:rPr>
              <w:t>13 passed</w:t>
            </w:r>
          </w:p>
        </w:tc>
      </w:tr>
      <w:tr>
        <w:tc>
          <w:tcPr>
            <w:tcW w:type="dxa" w:w="4986"/>
            <w:vAlign w:val="center"/>
            <w:tcMar>
              <w:top w:w="90" w:type="dxa"/>
              <w:start w:w="90" w:type="dxa"/>
              <w:bottom w:w="90" w:type="dxa"/>
              <w:end w:w="90" w:type="dxa"/>
            </w:tcMar>
            <w:shd w:fill="F4F7FA"/>
          </w:tcPr>
          <w:p>
            <w:r>
              <w:rPr>
                <w:sz w:val="18"/>
              </w:rPr>
              <w:t>Render health check</w:t>
            </w:r>
          </w:p>
        </w:tc>
        <w:tc>
          <w:tcPr>
            <w:tcW w:type="dxa" w:w="4986"/>
            <w:vAlign w:val="center"/>
            <w:tcMar>
              <w:top w:w="90" w:type="dxa"/>
              <w:start w:w="90" w:type="dxa"/>
              <w:bottom w:w="90" w:type="dxa"/>
              <w:end w:w="90" w:type="dxa"/>
            </w:tcMar>
            <w:shd w:fill="F4F7FA"/>
          </w:tcPr>
          <w:p>
            <w:r>
              <w:rPr>
                <w:sz w:val="18"/>
              </w:rPr>
              <w:t>Passed</w:t>
            </w:r>
          </w:p>
        </w:tc>
      </w:tr>
      <w:tr>
        <w:tc>
          <w:tcPr>
            <w:tcW w:type="dxa" w:w="4986"/>
            <w:vAlign w:val="center"/>
            <w:tcMar>
              <w:top w:w="90" w:type="dxa"/>
              <w:start w:w="90" w:type="dxa"/>
              <w:bottom w:w="90" w:type="dxa"/>
              <w:end w:w="90" w:type="dxa"/>
            </w:tcMar>
          </w:tcPr>
          <w:p>
            <w:r>
              <w:rPr>
                <w:sz w:val="18"/>
              </w:rPr>
              <w:t>Render readiness and GA4 connection</w:t>
            </w:r>
          </w:p>
        </w:tc>
        <w:tc>
          <w:tcPr>
            <w:tcW w:type="dxa" w:w="4986"/>
            <w:vAlign w:val="center"/>
            <w:tcMar>
              <w:top w:w="90" w:type="dxa"/>
              <w:start w:w="90" w:type="dxa"/>
              <w:bottom w:w="90" w:type="dxa"/>
              <w:end w:w="90" w:type="dxa"/>
            </w:tcMar>
          </w:tcPr>
          <w:p>
            <w:r>
              <w:rPr>
                <w:sz w:val="18"/>
              </w:rPr>
              <w:t>Passed</w:t>
            </w:r>
          </w:p>
        </w:tc>
      </w:tr>
    </w:tbl>
    <w:p/>
    <w:tbl>
      <w:tblPr>
        <w:tblStyle w:val="TableGrid"/>
        <w:tblW w:type="auto" w:w="0"/>
        <w:tblLook w:firstColumn="1" w:firstRow="1" w:lastColumn="0" w:lastRow="0" w:noHBand="0" w:noVBand="1" w:val="04A0"/>
      </w:tblPr>
      <w:tblGrid>
        <w:gridCol w:w="9972"/>
      </w:tblGrid>
      <w:tr>
        <w:tc>
          <w:tcPr>
            <w:tcW w:type="dxa" w:w="9972"/>
            <w:shd w:fill="EAF2F8"/>
            <w:tcMar>
              <w:top w:w="120" w:type="dxa"/>
              <w:start w:w="140" w:type="dxa"/>
              <w:bottom w:w="120" w:type="dxa"/>
              <w:end w:w="140" w:type="dxa"/>
            </w:tcMar>
          </w:tcPr>
          <w:p>
            <w:r>
              <w:rPr>
                <w:color w:val="1F4E78"/>
              </w:rPr>
              <w:t>Validation conclusion: Standard Day N retention uses GA4 cohort reporting, while rolling Day N+ retention uses exact distinct-user calculations from the BigQuery export.</w:t>
            </w:r>
          </w:p>
        </w:tc>
      </w:tr>
    </w:tbl>
    <w:p/>
    <w:p>
      <w:pPr>
        <w:pStyle w:val="Heading1"/>
        <w:spacing w:before="240" w:after="80"/>
      </w:pPr>
      <w:r>
        <w:rPr>
          <w:color w:val="1F4E78"/>
        </w:rPr>
        <w:t>10. API Interface</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Dashboard section</w:t>
            </w:r>
          </w:p>
        </w:tc>
        <w:tc>
          <w:tcPr>
            <w:tcW w:type="dxa" w:w="4986"/>
            <w:shd w:fill="2F75B5"/>
            <w:vAlign w:val="center"/>
            <w:tcMar>
              <w:top w:w="90" w:type="dxa"/>
              <w:start w:w="90" w:type="dxa"/>
              <w:bottom w:w="90" w:type="dxa"/>
              <w:end w:w="90" w:type="dxa"/>
            </w:tcMar>
          </w:tcPr>
          <w:p>
            <w:r>
              <w:rPr>
                <w:b/>
                <w:color w:val="FFFFFF"/>
                <w:sz w:val="19"/>
              </w:rPr>
              <w:t>Production API path</w:t>
            </w:r>
          </w:p>
        </w:tc>
      </w:tr>
      <w:tr>
        <w:tc>
          <w:tcPr>
            <w:tcW w:type="dxa" w:w="4986"/>
            <w:vAlign w:val="center"/>
            <w:tcMar>
              <w:top w:w="90" w:type="dxa"/>
              <w:start w:w="90" w:type="dxa"/>
              <w:bottom w:w="90" w:type="dxa"/>
              <w:end w:w="90" w:type="dxa"/>
            </w:tcMar>
          </w:tcPr>
          <w:p>
            <w:r>
              <w:rPr>
                <w:sz w:val="18"/>
              </w:rPr>
              <w:t>Executive Health</w:t>
            </w:r>
          </w:p>
        </w:tc>
        <w:tc>
          <w:tcPr>
            <w:tcW w:type="dxa" w:w="4986"/>
            <w:vAlign w:val="center"/>
            <w:tcMar>
              <w:top w:w="90" w:type="dxa"/>
              <w:start w:w="90" w:type="dxa"/>
              <w:bottom w:w="90" w:type="dxa"/>
              <w:end w:w="90" w:type="dxa"/>
            </w:tcMar>
          </w:tcPr>
          <w:p>
            <w:r>
              <w:rPr>
                <w:sz w:val="18"/>
              </w:rPr>
              <w:t>/api/v1/executive/summary</w:t>
            </w:r>
          </w:p>
        </w:tc>
      </w:tr>
      <w:tr>
        <w:tc>
          <w:tcPr>
            <w:tcW w:type="dxa" w:w="4986"/>
            <w:vAlign w:val="center"/>
            <w:tcMar>
              <w:top w:w="90" w:type="dxa"/>
              <w:start w:w="90" w:type="dxa"/>
              <w:bottom w:w="90" w:type="dxa"/>
              <w:end w:w="90" w:type="dxa"/>
            </w:tcMar>
            <w:shd w:fill="F4F7FA"/>
          </w:tcPr>
          <w:p>
            <w:r>
              <w:rPr>
                <w:sz w:val="18"/>
              </w:rPr>
              <w:t>Acquisition</w:t>
            </w:r>
          </w:p>
        </w:tc>
        <w:tc>
          <w:tcPr>
            <w:tcW w:type="dxa" w:w="4986"/>
            <w:vAlign w:val="center"/>
            <w:tcMar>
              <w:top w:w="90" w:type="dxa"/>
              <w:start w:w="90" w:type="dxa"/>
              <w:bottom w:w="90" w:type="dxa"/>
              <w:end w:w="90" w:type="dxa"/>
            </w:tcMar>
            <w:shd w:fill="F4F7FA"/>
          </w:tcPr>
          <w:p>
            <w:r>
              <w:rPr>
                <w:sz w:val="18"/>
              </w:rPr>
              <w:t>/api/v1/acquisition/summary</w:t>
            </w:r>
          </w:p>
        </w:tc>
      </w:tr>
      <w:tr>
        <w:tc>
          <w:tcPr>
            <w:tcW w:type="dxa" w:w="4986"/>
            <w:vAlign w:val="center"/>
            <w:tcMar>
              <w:top w:w="90" w:type="dxa"/>
              <w:start w:w="90" w:type="dxa"/>
              <w:bottom w:w="90" w:type="dxa"/>
              <w:end w:w="90" w:type="dxa"/>
            </w:tcMar>
          </w:tcPr>
          <w:p>
            <w:r>
              <w:rPr>
                <w:sz w:val="18"/>
              </w:rPr>
              <w:t>Onboarding</w:t>
            </w:r>
          </w:p>
        </w:tc>
        <w:tc>
          <w:tcPr>
            <w:tcW w:type="dxa" w:w="4986"/>
            <w:vAlign w:val="center"/>
            <w:tcMar>
              <w:top w:w="90" w:type="dxa"/>
              <w:start w:w="90" w:type="dxa"/>
              <w:bottom w:w="90" w:type="dxa"/>
              <w:end w:w="90" w:type="dxa"/>
            </w:tcMar>
          </w:tcPr>
          <w:p>
            <w:r>
              <w:rPr>
                <w:sz w:val="18"/>
              </w:rPr>
              <w:t>/api/v1/onboarding/summary</w:t>
            </w:r>
          </w:p>
        </w:tc>
      </w:tr>
      <w:tr>
        <w:tc>
          <w:tcPr>
            <w:tcW w:type="dxa" w:w="4986"/>
            <w:vAlign w:val="center"/>
            <w:tcMar>
              <w:top w:w="90" w:type="dxa"/>
              <w:start w:w="90" w:type="dxa"/>
              <w:bottom w:w="90" w:type="dxa"/>
              <w:end w:w="90" w:type="dxa"/>
            </w:tcMar>
            <w:shd w:fill="F4F7FA"/>
          </w:tcPr>
          <w:p>
            <w:r>
              <w:rPr>
                <w:sz w:val="18"/>
              </w:rPr>
              <w:t>Gameplay</w:t>
            </w:r>
          </w:p>
        </w:tc>
        <w:tc>
          <w:tcPr>
            <w:tcW w:type="dxa" w:w="4986"/>
            <w:vAlign w:val="center"/>
            <w:tcMar>
              <w:top w:w="90" w:type="dxa"/>
              <w:start w:w="90" w:type="dxa"/>
              <w:bottom w:w="90" w:type="dxa"/>
              <w:end w:w="90" w:type="dxa"/>
            </w:tcMar>
            <w:shd w:fill="F4F7FA"/>
          </w:tcPr>
          <w:p>
            <w:r>
              <w:rPr>
                <w:sz w:val="18"/>
              </w:rPr>
              <w:t>/api/v1/gameplay/summary</w:t>
            </w:r>
          </w:p>
        </w:tc>
      </w:tr>
      <w:tr>
        <w:tc>
          <w:tcPr>
            <w:tcW w:type="dxa" w:w="4986"/>
            <w:vAlign w:val="center"/>
            <w:tcMar>
              <w:top w:w="90" w:type="dxa"/>
              <w:start w:w="90" w:type="dxa"/>
              <w:bottom w:w="90" w:type="dxa"/>
              <w:end w:w="90" w:type="dxa"/>
            </w:tcMar>
          </w:tcPr>
          <w:p>
            <w:r>
              <w:rPr>
                <w:sz w:val="18"/>
              </w:rPr>
              <w:t>Retention</w:t>
            </w:r>
          </w:p>
        </w:tc>
        <w:tc>
          <w:tcPr>
            <w:tcW w:type="dxa" w:w="4986"/>
            <w:vAlign w:val="center"/>
            <w:tcMar>
              <w:top w:w="90" w:type="dxa"/>
              <w:start w:w="90" w:type="dxa"/>
              <w:bottom w:w="90" w:type="dxa"/>
              <w:end w:w="90" w:type="dxa"/>
            </w:tcMar>
          </w:tcPr>
          <w:p>
            <w:r>
              <w:rPr>
                <w:sz w:val="18"/>
              </w:rPr>
              <w:t>/api/v1/retention/summary</w:t>
            </w:r>
          </w:p>
        </w:tc>
      </w:tr>
    </w:tbl>
    <w:p/>
    <w:p>
      <w:pPr>
        <w:spacing w:after="120"/>
      </w:pPr>
      <w:r>
        <w:t>Protected dashboard requests use the x-api-key header. The key value is intentionally not included in this report.</w:t>
      </w:r>
    </w:p>
    <w:p>
      <w:pPr>
        <w:pStyle w:val="Heading1"/>
        <w:spacing w:before="240" w:after="80"/>
      </w:pPr>
      <w:r>
        <w:rPr>
          <w:color w:val="1F4E78"/>
        </w:rPr>
        <w:t>11. Security and Operational Controls</w:t>
      </w:r>
    </w:p>
    <w:p>
      <w:pPr>
        <w:pStyle w:val="ListBullet"/>
        <w:spacing w:after="40"/>
      </w:pPr>
      <w:r>
        <w:t>API authentication is enabled for protected production routes.</w:t>
      </w:r>
    </w:p>
    <w:p>
      <w:pPr>
        <w:pStyle w:val="ListBullet"/>
        <w:spacing w:after="40"/>
      </w:pPr>
      <w:r>
        <w:t>Google service-account credentials are stored as backend environment secrets.</w:t>
      </w:r>
    </w:p>
    <w:p>
      <w:pPr>
        <w:pStyle w:val="ListBullet"/>
        <w:spacing w:after="40"/>
      </w:pPr>
      <w:r>
        <w:t>The Appsmith interface does not contain or expose Google credentials.</w:t>
      </w:r>
    </w:p>
    <w:p>
      <w:pPr>
        <w:pStyle w:val="ListBullet"/>
        <w:spacing w:after="40"/>
      </w:pPr>
      <w:r>
        <w:t>CORS is configured for the Appsmith Cloud origin.</w:t>
      </w:r>
    </w:p>
    <w:p>
      <w:pPr>
        <w:pStyle w:val="ListBullet"/>
        <w:spacing w:after="40"/>
      </w:pPr>
      <w:r>
        <w:t>Backend responses are cached for 300 seconds to reduce repeated GA4 queries.</w:t>
      </w:r>
    </w:p>
    <w:p>
      <w:pPr>
        <w:pStyle w:val="ListBullet"/>
        <w:spacing w:after="40"/>
      </w:pPr>
      <w:r>
        <w:t>Production readiness is monitored through dedicated health and readiness routes.</w:t>
      </w:r>
    </w:p>
    <w:p>
      <w:pPr>
        <w:pStyle w:val="Heading1"/>
        <w:spacing w:before="240" w:after="80"/>
      </w:pPr>
      <w:r>
        <w:rPr>
          <w:color w:val="1F4E78"/>
        </w:rPr>
        <w:t>12. Limitations and Operational Notes</w:t>
      </w:r>
    </w:p>
    <w:p>
      <w:pPr>
        <w:pStyle w:val="ListBullet"/>
        <w:spacing w:after="40"/>
      </w:pPr>
      <w:r>
        <w:t>The Render free service can sleep after inactivity; the first request may require a short wake-up period.</w:t>
      </w:r>
    </w:p>
    <w:p>
      <w:pPr>
        <w:pStyle w:val="ListBullet"/>
        <w:spacing w:after="40"/>
      </w:pPr>
      <w:r>
        <w:t>GA4 Data API results are aggregated and can differ from raw-event queries when definitions, identity, filters, time zones, or processing windows differ.</w:t>
      </w:r>
    </w:p>
    <w:p>
      <w:pPr>
        <w:pStyle w:val="ListBullet"/>
        <w:spacing w:after="40"/>
      </w:pPr>
      <w:r>
        <w:t>BigQuery rolling retention depends on the availability and completeness of the GA4 events_* export.</w:t>
      </w:r>
    </w:p>
    <w:p>
      <w:pPr>
        <w:pStyle w:val="ListBullet"/>
        <w:spacing w:after="40"/>
      </w:pPr>
      <w:r>
        <w:t>Recent cohorts correctly show unavailable values for retention days that have not yet matured.</w:t>
      </w:r>
    </w:p>
    <w:p>
      <w:pPr>
        <w:pStyle w:val="ListBullet"/>
        <w:spacing w:after="40"/>
      </w:pPr>
      <w:r>
        <w:t>Manager access depends on Appsmith sharing configuration: public application or invited workspace user.</w:t>
      </w:r>
    </w:p>
    <w:p>
      <w:pPr>
        <w:pStyle w:val="ListBullet"/>
        <w:spacing w:after="40"/>
      </w:pPr>
      <w:r>
        <w:t>Some historical dashboard comparison labels showed character-encoding artifacts; these do not change the validated KPI calculations.</w:t>
      </w:r>
    </w:p>
    <w:p>
      <w:pPr>
        <w:pStyle w:val="Heading1"/>
        <w:spacing w:before="240" w:after="80"/>
      </w:pPr>
      <w:r>
        <w:rPr>
          <w:color w:val="1F4E78"/>
        </w:rPr>
        <w:t>13. Final Project Status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Deliverable</w:t>
            </w:r>
          </w:p>
        </w:tc>
        <w:tc>
          <w:tcPr>
            <w:tcW w:type="dxa" w:w="4986"/>
            <w:shd w:fill="2F75B5"/>
            <w:vAlign w:val="center"/>
            <w:tcMar>
              <w:top w:w="90" w:type="dxa"/>
              <w:start w:w="90" w:type="dxa"/>
              <w:bottom w:w="90" w:type="dxa"/>
              <w:end w:w="90" w:type="dxa"/>
            </w:tcMar>
          </w:tcPr>
          <w:p>
            <w:r>
              <w:rPr>
                <w:b/>
                <w:color w:val="FFFFFF"/>
                <w:sz w:val="19"/>
              </w:rPr>
              <w:t>Final status</w:t>
            </w:r>
          </w:p>
        </w:tc>
      </w:tr>
      <w:tr>
        <w:tc>
          <w:tcPr>
            <w:tcW w:type="dxa" w:w="4986"/>
            <w:vAlign w:val="center"/>
            <w:tcMar>
              <w:top w:w="90" w:type="dxa"/>
              <w:start w:w="90" w:type="dxa"/>
              <w:bottom w:w="90" w:type="dxa"/>
              <w:end w:w="90" w:type="dxa"/>
            </w:tcMar>
          </w:tcPr>
          <w:p>
            <w:r>
              <w:rPr>
                <w:sz w:val="18"/>
              </w:rPr>
              <w:t>Five-section analytics dashboard</w:t>
            </w:r>
          </w:p>
        </w:tc>
        <w:tc>
          <w:tcPr>
            <w:tcW w:type="dxa" w:w="4986"/>
            <w:vAlign w:val="center"/>
            <w:tcMar>
              <w:top w:w="90" w:type="dxa"/>
              <w:start w:w="90" w:type="dxa"/>
              <w:bottom w:w="90" w:type="dxa"/>
              <w:end w:w="90" w:type="dxa"/>
            </w:tcMar>
          </w:tcPr>
          <w:p>
            <w:r>
              <w:rPr>
                <w:sz w:val="18"/>
              </w:rPr>
              <w:t>Complete</w:t>
            </w:r>
          </w:p>
        </w:tc>
      </w:tr>
      <w:tr>
        <w:tc>
          <w:tcPr>
            <w:tcW w:type="dxa" w:w="4986"/>
            <w:vAlign w:val="center"/>
            <w:tcMar>
              <w:top w:w="90" w:type="dxa"/>
              <w:start w:w="90" w:type="dxa"/>
              <w:bottom w:w="90" w:type="dxa"/>
              <w:end w:w="90" w:type="dxa"/>
            </w:tcMar>
            <w:shd w:fill="F4F7FA"/>
          </w:tcPr>
          <w:p>
            <w:r>
              <w:rPr>
                <w:sz w:val="18"/>
              </w:rPr>
              <w:t>FastAPI GA4 backend</w:t>
            </w:r>
          </w:p>
        </w:tc>
        <w:tc>
          <w:tcPr>
            <w:tcW w:type="dxa" w:w="4986"/>
            <w:vAlign w:val="center"/>
            <w:tcMar>
              <w:top w:w="90" w:type="dxa"/>
              <w:start w:w="90" w:type="dxa"/>
              <w:bottom w:w="90" w:type="dxa"/>
              <w:end w:w="90" w:type="dxa"/>
            </w:tcMar>
            <w:shd w:fill="F4F7FA"/>
          </w:tcPr>
          <w:p>
            <w:r>
              <w:rPr>
                <w:sz w:val="18"/>
              </w:rPr>
              <w:t>Deployed on Render</w:t>
            </w:r>
          </w:p>
        </w:tc>
      </w:tr>
      <w:tr>
        <w:tc>
          <w:tcPr>
            <w:tcW w:type="dxa" w:w="4986"/>
            <w:vAlign w:val="center"/>
            <w:tcMar>
              <w:top w:w="90" w:type="dxa"/>
              <w:start w:w="90" w:type="dxa"/>
              <w:bottom w:w="90" w:type="dxa"/>
              <w:end w:w="90" w:type="dxa"/>
            </w:tcMar>
          </w:tcPr>
          <w:p>
            <w:r>
              <w:rPr>
                <w:sz w:val="18"/>
              </w:rPr>
              <w:t>Appsmith Cloud application</w:t>
            </w:r>
          </w:p>
        </w:tc>
        <w:tc>
          <w:tcPr>
            <w:tcW w:type="dxa" w:w="4986"/>
            <w:vAlign w:val="center"/>
            <w:tcMar>
              <w:top w:w="90" w:type="dxa"/>
              <w:start w:w="90" w:type="dxa"/>
              <w:bottom w:w="90" w:type="dxa"/>
              <w:end w:w="90" w:type="dxa"/>
            </w:tcMar>
          </w:tcPr>
          <w:p>
            <w:r>
              <w:rPr>
                <w:sz w:val="18"/>
              </w:rPr>
              <w:t>Imported and deployed</w:t>
            </w:r>
          </w:p>
        </w:tc>
      </w:tr>
      <w:tr>
        <w:tc>
          <w:tcPr>
            <w:tcW w:type="dxa" w:w="4986"/>
            <w:vAlign w:val="center"/>
            <w:tcMar>
              <w:top w:w="90" w:type="dxa"/>
              <w:start w:w="90" w:type="dxa"/>
              <w:bottom w:w="90" w:type="dxa"/>
              <w:end w:w="90" w:type="dxa"/>
            </w:tcMar>
            <w:shd w:fill="F4F7FA"/>
          </w:tcPr>
          <w:p>
            <w:r>
              <w:rPr>
                <w:sz w:val="18"/>
              </w:rPr>
              <w:t>GA4 Data API integration</w:t>
            </w:r>
          </w:p>
        </w:tc>
        <w:tc>
          <w:tcPr>
            <w:tcW w:type="dxa" w:w="4986"/>
            <w:vAlign w:val="center"/>
            <w:tcMar>
              <w:top w:w="90" w:type="dxa"/>
              <w:start w:w="90" w:type="dxa"/>
              <w:bottom w:w="90" w:type="dxa"/>
              <w:end w:w="90" w:type="dxa"/>
            </w:tcMar>
            <w:shd w:fill="F4F7FA"/>
          </w:tcPr>
          <w:p>
            <w:r>
              <w:rPr>
                <w:sz w:val="18"/>
              </w:rPr>
              <w:t>Validated</w:t>
            </w:r>
          </w:p>
        </w:tc>
      </w:tr>
      <w:tr>
        <w:tc>
          <w:tcPr>
            <w:tcW w:type="dxa" w:w="4986"/>
            <w:vAlign w:val="center"/>
            <w:tcMar>
              <w:top w:w="90" w:type="dxa"/>
              <w:start w:w="90" w:type="dxa"/>
              <w:bottom w:w="90" w:type="dxa"/>
              <w:end w:w="90" w:type="dxa"/>
            </w:tcMar>
          </w:tcPr>
          <w:p>
            <w:r>
              <w:rPr>
                <w:sz w:val="18"/>
              </w:rPr>
              <w:t>BigQuery exact rolling retention</w:t>
            </w:r>
          </w:p>
        </w:tc>
        <w:tc>
          <w:tcPr>
            <w:tcW w:type="dxa" w:w="4986"/>
            <w:vAlign w:val="center"/>
            <w:tcMar>
              <w:top w:w="90" w:type="dxa"/>
              <w:start w:w="90" w:type="dxa"/>
              <w:bottom w:w="90" w:type="dxa"/>
              <w:end w:w="90" w:type="dxa"/>
            </w:tcMar>
          </w:tcPr>
          <w:p>
            <w:r>
              <w:rPr>
                <w:sz w:val="18"/>
              </w:rPr>
              <w:t>Validated</w:t>
            </w:r>
          </w:p>
        </w:tc>
      </w:tr>
      <w:tr>
        <w:tc>
          <w:tcPr>
            <w:tcW w:type="dxa" w:w="4986"/>
            <w:vAlign w:val="center"/>
            <w:tcMar>
              <w:top w:w="90" w:type="dxa"/>
              <w:start w:w="90" w:type="dxa"/>
              <w:bottom w:w="90" w:type="dxa"/>
              <w:end w:w="90" w:type="dxa"/>
            </w:tcMar>
            <w:shd w:fill="F4F7FA"/>
          </w:tcPr>
          <w:p>
            <w:r>
              <w:rPr>
                <w:sz w:val="18"/>
              </w:rPr>
              <w:t>Authentication and production configuration</w:t>
            </w:r>
          </w:p>
        </w:tc>
        <w:tc>
          <w:tcPr>
            <w:tcW w:type="dxa" w:w="4986"/>
            <w:vAlign w:val="center"/>
            <w:tcMar>
              <w:top w:w="90" w:type="dxa"/>
              <w:start w:w="90" w:type="dxa"/>
              <w:bottom w:w="90" w:type="dxa"/>
              <w:end w:w="90" w:type="dxa"/>
            </w:tcMar>
            <w:shd w:fill="F4F7FA"/>
          </w:tcPr>
          <w:p>
            <w:r>
              <w:rPr>
                <w:sz w:val="18"/>
              </w:rPr>
              <w:t>Enabled</w:t>
            </w:r>
          </w:p>
        </w:tc>
      </w:tr>
      <w:tr>
        <w:tc>
          <w:tcPr>
            <w:tcW w:type="dxa" w:w="4986"/>
            <w:vAlign w:val="center"/>
            <w:tcMar>
              <w:top w:w="90" w:type="dxa"/>
              <w:start w:w="90" w:type="dxa"/>
              <w:bottom w:w="90" w:type="dxa"/>
              <w:end w:w="90" w:type="dxa"/>
            </w:tcMar>
          </w:tcPr>
          <w:p>
            <w:r>
              <w:rPr>
                <w:sz w:val="18"/>
              </w:rPr>
              <w:t>Manager documentation</w:t>
            </w:r>
          </w:p>
        </w:tc>
        <w:tc>
          <w:tcPr>
            <w:tcW w:type="dxa" w:w="4986"/>
            <w:vAlign w:val="center"/>
            <w:tcMar>
              <w:top w:w="90" w:type="dxa"/>
              <w:start w:w="90" w:type="dxa"/>
              <w:bottom w:w="90" w:type="dxa"/>
              <w:end w:w="90" w:type="dxa"/>
            </w:tcMar>
          </w:tcPr>
          <w:p>
            <w:r>
              <w:rPr>
                <w:sz w:val="18"/>
              </w:rPr>
              <w:t>Complete</w:t>
            </w:r>
          </w:p>
        </w:tc>
      </w:tr>
    </w:tbl>
    <w:p/>
    <w:p>
      <w:pPr>
        <w:pStyle w:val="Heading1"/>
        <w:spacing w:before="240" w:after="80"/>
      </w:pPr>
      <w:r>
        <w:rPr>
          <w:color w:val="1F4E78"/>
        </w:rPr>
        <w:t>14. 1-Year Analytics Roadmap</w:t>
      </w:r>
    </w:p>
    <w:p>
      <w:pPr>
        <w:spacing w:after="120"/>
      </w:pPr>
      <w:r>
        <w:t>The next phase is to move analytics from reactive reporting into a dependable decision-making system for product, growth, retention, monetization, and management review. The roadmap below uses weekly sprint execution so each improvement includes implementation, validation, documentation, and stakeholder review.</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2F75B5"/>
            <w:vAlign w:val="center"/>
            <w:tcMar>
              <w:top w:w="90" w:type="dxa"/>
              <w:start w:w="90" w:type="dxa"/>
              <w:bottom w:w="90" w:type="dxa"/>
              <w:end w:w="90" w:type="dxa"/>
            </w:tcMar>
          </w:tcPr>
          <w:p>
            <w:r>
              <w:rPr>
                <w:b/>
                <w:color w:val="FFFFFF"/>
                <w:sz w:val="19"/>
              </w:rPr>
              <w:t>Quarter</w:t>
            </w:r>
          </w:p>
        </w:tc>
        <w:tc>
          <w:tcPr>
            <w:tcW w:type="dxa" w:w="2493"/>
            <w:shd w:fill="2F75B5"/>
            <w:vAlign w:val="center"/>
            <w:tcMar>
              <w:top w:w="90" w:type="dxa"/>
              <w:start w:w="90" w:type="dxa"/>
              <w:bottom w:w="90" w:type="dxa"/>
              <w:end w:w="90" w:type="dxa"/>
            </w:tcMar>
          </w:tcPr>
          <w:p>
            <w:r>
              <w:rPr>
                <w:b/>
                <w:color w:val="FFFFFF"/>
                <w:sz w:val="19"/>
              </w:rPr>
              <w:t>Focus</w:t>
            </w:r>
          </w:p>
        </w:tc>
        <w:tc>
          <w:tcPr>
            <w:tcW w:type="dxa" w:w="2493"/>
            <w:shd w:fill="2F75B5"/>
            <w:vAlign w:val="center"/>
            <w:tcMar>
              <w:top w:w="90" w:type="dxa"/>
              <w:start w:w="90" w:type="dxa"/>
              <w:bottom w:w="90" w:type="dxa"/>
              <w:end w:w="90" w:type="dxa"/>
            </w:tcMar>
          </w:tcPr>
          <w:p>
            <w:r>
              <w:rPr>
                <w:b/>
                <w:color w:val="FFFFFF"/>
                <w:sz w:val="19"/>
              </w:rPr>
              <w:t>Expected outcomes</w:t>
            </w:r>
          </w:p>
        </w:tc>
        <w:tc>
          <w:tcPr>
            <w:tcW w:type="dxa" w:w="2493"/>
            <w:shd w:fill="2F75B5"/>
            <w:vAlign w:val="center"/>
            <w:tcMar>
              <w:top w:w="90" w:type="dxa"/>
              <w:start w:w="90" w:type="dxa"/>
              <w:bottom w:w="90" w:type="dxa"/>
              <w:end w:w="90" w:type="dxa"/>
            </w:tcMar>
          </w:tcPr>
          <w:p>
            <w:r>
              <w:rPr>
                <w:b/>
                <w:color w:val="FFFFFF"/>
                <w:sz w:val="19"/>
              </w:rPr>
              <w:t>Key deliverables</w:t>
            </w:r>
          </w:p>
        </w:tc>
      </w:tr>
      <w:tr>
        <w:tc>
          <w:tcPr>
            <w:tcW w:type="dxa" w:w="2493"/>
            <w:vAlign w:val="center"/>
            <w:tcMar>
              <w:top w:w="90" w:type="dxa"/>
              <w:start w:w="90" w:type="dxa"/>
              <w:bottom w:w="90" w:type="dxa"/>
              <w:end w:w="90" w:type="dxa"/>
            </w:tcMar>
          </w:tcPr>
          <w:p>
            <w:r>
              <w:rPr>
                <w:sz w:val="18"/>
              </w:rPr>
              <w:t>Q1: Foundation and Data Reliability</w:t>
            </w:r>
          </w:p>
        </w:tc>
        <w:tc>
          <w:tcPr>
            <w:tcW w:type="dxa" w:w="2493"/>
            <w:vAlign w:val="center"/>
            <w:tcMar>
              <w:top w:w="90" w:type="dxa"/>
              <w:start w:w="90" w:type="dxa"/>
              <w:bottom w:w="90" w:type="dxa"/>
              <w:end w:w="90" w:type="dxa"/>
            </w:tcMar>
          </w:tcPr>
          <w:p>
            <w:r>
              <w:rPr>
                <w:sz w:val="18"/>
              </w:rPr>
              <w:t>Stabilize tracking, dashboard accuracy, KPI logic, and reporting consistency.</w:t>
            </w:r>
          </w:p>
        </w:tc>
        <w:tc>
          <w:tcPr>
            <w:tcW w:type="dxa" w:w="2493"/>
            <w:vAlign w:val="center"/>
            <w:tcMar>
              <w:top w:w="90" w:type="dxa"/>
              <w:start w:w="90" w:type="dxa"/>
              <w:bottom w:w="90" w:type="dxa"/>
              <w:end w:w="90" w:type="dxa"/>
            </w:tcMar>
          </w:tcPr>
          <w:p>
            <w:r>
              <w:rPr>
                <w:sz w:val="18"/>
              </w:rPr>
              <w:t>Clean GA4 event structure, reliable Appsmith and backend reporting, business-aligned KPI definitions, reduced manual checking.</w:t>
            </w:r>
          </w:p>
        </w:tc>
        <w:tc>
          <w:tcPr>
            <w:tcW w:type="dxa" w:w="2493"/>
            <w:vAlign w:val="center"/>
            <w:tcMar>
              <w:top w:w="90" w:type="dxa"/>
              <w:start w:w="90" w:type="dxa"/>
              <w:bottom w:w="90" w:type="dxa"/>
              <w:end w:w="90" w:type="dxa"/>
            </w:tcMar>
          </w:tcPr>
          <w:p>
            <w:r>
              <w:rPr>
                <w:sz w:val="18"/>
              </w:rPr>
              <w:t>Analytics audit report; KPI dictionary; validated executive dashboard; data quality checklist; tracking issue backlog.</w:t>
            </w:r>
          </w:p>
        </w:tc>
      </w:tr>
      <w:tr>
        <w:tc>
          <w:tcPr>
            <w:tcW w:type="dxa" w:w="2493"/>
            <w:vAlign w:val="center"/>
            <w:tcMar>
              <w:top w:w="90" w:type="dxa"/>
              <w:start w:w="90" w:type="dxa"/>
              <w:bottom w:w="90" w:type="dxa"/>
              <w:end w:w="90" w:type="dxa"/>
            </w:tcMar>
            <w:shd w:fill="F4F7FA"/>
          </w:tcPr>
          <w:p>
            <w:r>
              <w:rPr>
                <w:sz w:val="18"/>
              </w:rPr>
              <w:t>Q2: Funnel and User Journey Analytics</w:t>
            </w:r>
          </w:p>
        </w:tc>
        <w:tc>
          <w:tcPr>
            <w:tcW w:type="dxa" w:w="2493"/>
            <w:vAlign w:val="center"/>
            <w:tcMar>
              <w:top w:w="90" w:type="dxa"/>
              <w:start w:w="90" w:type="dxa"/>
              <w:bottom w:w="90" w:type="dxa"/>
              <w:end w:w="90" w:type="dxa"/>
            </w:tcMar>
            <w:shd w:fill="F4F7FA"/>
          </w:tcPr>
          <w:p>
            <w:r>
              <w:rPr>
                <w:sz w:val="18"/>
              </w:rPr>
              <w:t>Understand acquisition quality, onboarding flow, and drop-off points.</w:t>
            </w:r>
          </w:p>
        </w:tc>
        <w:tc>
          <w:tcPr>
            <w:tcW w:type="dxa" w:w="2493"/>
            <w:vAlign w:val="center"/>
            <w:tcMar>
              <w:top w:w="90" w:type="dxa"/>
              <w:start w:w="90" w:type="dxa"/>
              <w:bottom w:w="90" w:type="dxa"/>
              <w:end w:w="90" w:type="dxa"/>
            </w:tcMar>
            <w:shd w:fill="F4F7FA"/>
          </w:tcPr>
          <w:p>
            <w:r>
              <w:rPr>
                <w:sz w:val="18"/>
              </w:rPr>
              <w:t>Clear visibility from install to activation, funnel-level drop-off analysis, better identification of weak onboarding and conversion points.</w:t>
            </w:r>
          </w:p>
        </w:tc>
        <w:tc>
          <w:tcPr>
            <w:tcW w:type="dxa" w:w="2493"/>
            <w:vAlign w:val="center"/>
            <w:tcMar>
              <w:top w:w="90" w:type="dxa"/>
              <w:start w:w="90" w:type="dxa"/>
              <w:bottom w:w="90" w:type="dxa"/>
              <w:end w:w="90" w:type="dxa"/>
            </w:tcMar>
            <w:shd w:fill="F4F7FA"/>
          </w:tcPr>
          <w:p>
            <w:r>
              <w:rPr>
                <w:sz w:val="18"/>
              </w:rPr>
              <w:t>Acquisition dashboard; onboarding funnel dashboard; early behavior analysis; segment comparison views; funnel insights summary.</w:t>
            </w:r>
          </w:p>
        </w:tc>
      </w:tr>
      <w:tr>
        <w:tc>
          <w:tcPr>
            <w:tcW w:type="dxa" w:w="2493"/>
            <w:vAlign w:val="center"/>
            <w:tcMar>
              <w:top w:w="90" w:type="dxa"/>
              <w:start w:w="90" w:type="dxa"/>
              <w:bottom w:w="90" w:type="dxa"/>
              <w:end w:w="90" w:type="dxa"/>
            </w:tcMar>
          </w:tcPr>
          <w:p>
            <w:r>
              <w:rPr>
                <w:sz w:val="18"/>
              </w:rPr>
              <w:t>Q3: Retention, Cohorts, and Engagement</w:t>
            </w:r>
          </w:p>
        </w:tc>
        <w:tc>
          <w:tcPr>
            <w:tcW w:type="dxa" w:w="2493"/>
            <w:vAlign w:val="center"/>
            <w:tcMar>
              <w:top w:w="90" w:type="dxa"/>
              <w:start w:w="90" w:type="dxa"/>
              <w:bottom w:w="90" w:type="dxa"/>
              <w:end w:w="90" w:type="dxa"/>
            </w:tcMar>
          </w:tcPr>
          <w:p>
            <w:r>
              <w:rPr>
                <w:sz w:val="18"/>
              </w:rPr>
              <w:t>Strengthen retention understanding using GA4 and BigQuery.</w:t>
            </w:r>
          </w:p>
        </w:tc>
        <w:tc>
          <w:tcPr>
            <w:tcW w:type="dxa" w:w="2493"/>
            <w:vAlign w:val="center"/>
            <w:tcMar>
              <w:top w:w="90" w:type="dxa"/>
              <w:start w:w="90" w:type="dxa"/>
              <w:bottom w:w="90" w:type="dxa"/>
              <w:end w:w="90" w:type="dxa"/>
            </w:tcMar>
          </w:tcPr>
          <w:p>
            <w:r>
              <w:rPr>
                <w:sz w:val="18"/>
              </w:rPr>
              <w:t>Day 1, Day 3, Day 7, and Day 15+ retention visibility, rolling retention, cohort analysis, and engagement-retention links.</w:t>
            </w:r>
          </w:p>
        </w:tc>
        <w:tc>
          <w:tcPr>
            <w:tcW w:type="dxa" w:w="2493"/>
            <w:vAlign w:val="center"/>
            <w:tcMar>
              <w:top w:w="90" w:type="dxa"/>
              <w:start w:w="90" w:type="dxa"/>
              <w:bottom w:w="90" w:type="dxa"/>
              <w:end w:w="90" w:type="dxa"/>
            </w:tcMar>
          </w:tcPr>
          <w:p>
            <w:r>
              <w:rPr>
                <w:sz w:val="18"/>
              </w:rPr>
              <w:t>Retention dashboard; BigQuery cohort validation; rolling retention model; engagement-retention correlation report; churn-risk indicators.</w:t>
            </w:r>
          </w:p>
        </w:tc>
      </w:tr>
      <w:tr>
        <w:tc>
          <w:tcPr>
            <w:tcW w:type="dxa" w:w="2493"/>
            <w:vAlign w:val="center"/>
            <w:tcMar>
              <w:top w:w="90" w:type="dxa"/>
              <w:start w:w="90" w:type="dxa"/>
              <w:bottom w:w="90" w:type="dxa"/>
              <w:end w:w="90" w:type="dxa"/>
            </w:tcMar>
            <w:shd w:fill="F4F7FA"/>
          </w:tcPr>
          <w:p>
            <w:r>
              <w:rPr>
                <w:sz w:val="18"/>
              </w:rPr>
              <w:t>Q4: Automation, Optimization, and Decision Support</w:t>
            </w:r>
          </w:p>
        </w:tc>
        <w:tc>
          <w:tcPr>
            <w:tcW w:type="dxa" w:w="2493"/>
            <w:vAlign w:val="center"/>
            <w:tcMar>
              <w:top w:w="90" w:type="dxa"/>
              <w:start w:w="90" w:type="dxa"/>
              <w:bottom w:w="90" w:type="dxa"/>
              <w:end w:w="90" w:type="dxa"/>
            </w:tcMar>
            <w:shd w:fill="F4F7FA"/>
          </w:tcPr>
          <w:p>
            <w:r>
              <w:rPr>
                <w:sz w:val="18"/>
              </w:rPr>
              <w:t>Turn analytics into repeatable weekly and monthly decision support.</w:t>
            </w:r>
          </w:p>
        </w:tc>
        <w:tc>
          <w:tcPr>
            <w:tcW w:type="dxa" w:w="2493"/>
            <w:vAlign w:val="center"/>
            <w:tcMar>
              <w:top w:w="90" w:type="dxa"/>
              <w:start w:w="90" w:type="dxa"/>
              <w:bottom w:w="90" w:type="dxa"/>
              <w:end w:w="90" w:type="dxa"/>
            </w:tcMar>
            <w:shd w:fill="F4F7FA"/>
          </w:tcPr>
          <w:p>
            <w:r>
              <w:rPr>
                <w:sz w:val="18"/>
              </w:rPr>
              <w:t>Automated stakeholder reporting, faster product and growth decisions, experiment-readiness, and stronger governance.</w:t>
            </w:r>
          </w:p>
        </w:tc>
        <w:tc>
          <w:tcPr>
            <w:tcW w:type="dxa" w:w="2493"/>
            <w:vAlign w:val="center"/>
            <w:tcMar>
              <w:top w:w="90" w:type="dxa"/>
              <w:start w:w="90" w:type="dxa"/>
              <w:bottom w:w="90" w:type="dxa"/>
              <w:end w:w="90" w:type="dxa"/>
            </w:tcMar>
            <w:shd w:fill="F4F7FA"/>
          </w:tcPr>
          <w:p>
            <w:r>
              <w:rPr>
                <w:sz w:val="18"/>
              </w:rPr>
              <w:t>Automated reporting workflow; experiment analytics framework; executive health review pack; KPI cadence; annual analytics summary.</w:t>
            </w:r>
          </w:p>
        </w:tc>
      </w:tr>
    </w:tbl>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Sprint day</w:t>
            </w:r>
          </w:p>
        </w:tc>
        <w:tc>
          <w:tcPr>
            <w:tcW w:type="dxa" w:w="4986"/>
            <w:shd w:fill="2F75B5"/>
            <w:vAlign w:val="center"/>
            <w:tcMar>
              <w:top w:w="90" w:type="dxa"/>
              <w:start w:w="90" w:type="dxa"/>
              <w:bottom w:w="90" w:type="dxa"/>
              <w:end w:w="90" w:type="dxa"/>
            </w:tcMar>
          </w:tcPr>
          <w:p>
            <w:r>
              <w:rPr>
                <w:b/>
                <w:color w:val="FFFFFF"/>
                <w:sz w:val="19"/>
              </w:rPr>
              <w:t>Activity</w:t>
            </w:r>
          </w:p>
        </w:tc>
      </w:tr>
      <w:tr>
        <w:tc>
          <w:tcPr>
            <w:tcW w:type="dxa" w:w="4986"/>
            <w:vAlign w:val="center"/>
            <w:tcMar>
              <w:top w:w="90" w:type="dxa"/>
              <w:start w:w="90" w:type="dxa"/>
              <w:bottom w:w="90" w:type="dxa"/>
              <w:end w:w="90" w:type="dxa"/>
            </w:tcMar>
          </w:tcPr>
          <w:p>
            <w:r>
              <w:rPr>
                <w:sz w:val="18"/>
              </w:rPr>
              <w:t>Day 1</w:t>
            </w:r>
          </w:p>
        </w:tc>
        <w:tc>
          <w:tcPr>
            <w:tcW w:type="dxa" w:w="4986"/>
            <w:vAlign w:val="center"/>
            <w:tcMar>
              <w:top w:w="90" w:type="dxa"/>
              <w:start w:w="90" w:type="dxa"/>
              <w:bottom w:w="90" w:type="dxa"/>
              <w:end w:w="90" w:type="dxa"/>
            </w:tcMar>
          </w:tcPr>
          <w:p>
            <w:r>
              <w:rPr>
                <w:sz w:val="18"/>
              </w:rPr>
              <w:t>Requirement alignment and sprint planning</w:t>
            </w:r>
          </w:p>
        </w:tc>
      </w:tr>
      <w:tr>
        <w:tc>
          <w:tcPr>
            <w:tcW w:type="dxa" w:w="4986"/>
            <w:vAlign w:val="center"/>
            <w:tcMar>
              <w:top w:w="90" w:type="dxa"/>
              <w:start w:w="90" w:type="dxa"/>
              <w:bottom w:w="90" w:type="dxa"/>
              <w:end w:w="90" w:type="dxa"/>
            </w:tcMar>
            <w:shd w:fill="F4F7FA"/>
          </w:tcPr>
          <w:p>
            <w:r>
              <w:rPr>
                <w:sz w:val="18"/>
              </w:rPr>
              <w:t>Day 2</w:t>
            </w:r>
          </w:p>
        </w:tc>
        <w:tc>
          <w:tcPr>
            <w:tcW w:type="dxa" w:w="4986"/>
            <w:vAlign w:val="center"/>
            <w:tcMar>
              <w:top w:w="90" w:type="dxa"/>
              <w:start w:w="90" w:type="dxa"/>
              <w:bottom w:w="90" w:type="dxa"/>
              <w:end w:w="90" w:type="dxa"/>
            </w:tcMar>
            <w:shd w:fill="F4F7FA"/>
          </w:tcPr>
          <w:p>
            <w:r>
              <w:rPr>
                <w:sz w:val="18"/>
              </w:rPr>
              <w:t>Data extraction, event review, and logic design</w:t>
            </w:r>
          </w:p>
        </w:tc>
      </w:tr>
      <w:tr>
        <w:tc>
          <w:tcPr>
            <w:tcW w:type="dxa" w:w="4986"/>
            <w:vAlign w:val="center"/>
            <w:tcMar>
              <w:top w:w="90" w:type="dxa"/>
              <w:start w:w="90" w:type="dxa"/>
              <w:bottom w:w="90" w:type="dxa"/>
              <w:end w:w="90" w:type="dxa"/>
            </w:tcMar>
          </w:tcPr>
          <w:p>
            <w:r>
              <w:rPr>
                <w:sz w:val="18"/>
              </w:rPr>
              <w:t>Day 3</w:t>
            </w:r>
          </w:p>
        </w:tc>
        <w:tc>
          <w:tcPr>
            <w:tcW w:type="dxa" w:w="4986"/>
            <w:vAlign w:val="center"/>
            <w:tcMar>
              <w:top w:w="90" w:type="dxa"/>
              <w:start w:w="90" w:type="dxa"/>
              <w:bottom w:w="90" w:type="dxa"/>
              <w:end w:w="90" w:type="dxa"/>
            </w:tcMar>
          </w:tcPr>
          <w:p>
            <w:r>
              <w:rPr>
                <w:sz w:val="18"/>
              </w:rPr>
              <w:t>Dashboard, query, or backend implementation</w:t>
            </w:r>
          </w:p>
        </w:tc>
      </w:tr>
      <w:tr>
        <w:tc>
          <w:tcPr>
            <w:tcW w:type="dxa" w:w="4986"/>
            <w:vAlign w:val="center"/>
            <w:tcMar>
              <w:top w:w="90" w:type="dxa"/>
              <w:start w:w="90" w:type="dxa"/>
              <w:bottom w:w="90" w:type="dxa"/>
              <w:end w:w="90" w:type="dxa"/>
            </w:tcMar>
            <w:shd w:fill="F4F7FA"/>
          </w:tcPr>
          <w:p>
            <w:r>
              <w:rPr>
                <w:sz w:val="18"/>
              </w:rPr>
              <w:t>Day 4</w:t>
            </w:r>
          </w:p>
        </w:tc>
        <w:tc>
          <w:tcPr>
            <w:tcW w:type="dxa" w:w="4986"/>
            <w:vAlign w:val="center"/>
            <w:tcMar>
              <w:top w:w="90" w:type="dxa"/>
              <w:start w:w="90" w:type="dxa"/>
              <w:bottom w:w="90" w:type="dxa"/>
              <w:end w:w="90" w:type="dxa"/>
            </w:tcMar>
            <w:shd w:fill="F4F7FA"/>
          </w:tcPr>
          <w:p>
            <w:r>
              <w:rPr>
                <w:sz w:val="18"/>
              </w:rPr>
              <w:t>Validation against GA4 and BigQuery</w:t>
            </w:r>
          </w:p>
        </w:tc>
      </w:tr>
      <w:tr>
        <w:tc>
          <w:tcPr>
            <w:tcW w:type="dxa" w:w="4986"/>
            <w:vAlign w:val="center"/>
            <w:tcMar>
              <w:top w:w="90" w:type="dxa"/>
              <w:start w:w="90" w:type="dxa"/>
              <w:bottom w:w="90" w:type="dxa"/>
              <w:end w:w="90" w:type="dxa"/>
            </w:tcMar>
          </w:tcPr>
          <w:p>
            <w:r>
              <w:rPr>
                <w:sz w:val="18"/>
              </w:rPr>
              <w:t>Day 5</w:t>
            </w:r>
          </w:p>
        </w:tc>
        <w:tc>
          <w:tcPr>
            <w:tcW w:type="dxa" w:w="4986"/>
            <w:vAlign w:val="center"/>
            <w:tcMar>
              <w:top w:w="90" w:type="dxa"/>
              <w:start w:w="90" w:type="dxa"/>
              <w:bottom w:w="90" w:type="dxa"/>
              <w:end w:w="90" w:type="dxa"/>
            </w:tcMar>
          </w:tcPr>
          <w:p>
            <w:r>
              <w:rPr>
                <w:sz w:val="18"/>
              </w:rPr>
              <w:t>Review, fixes, documentation, and stakeholder update</w:t>
            </w:r>
          </w:p>
        </w:tc>
      </w:tr>
    </w:tbl>
    <w:p/>
    <w:tbl>
      <w:tblPr>
        <w:tblStyle w:val="TableGrid"/>
        <w:tblW w:type="auto" w:w="0"/>
        <w:jc w:val="center"/>
        <w:tblLayout w:type="autofit"/>
        <w:tblLook w:firstColumn="1" w:firstRow="1" w:lastColumn="0" w:lastRow="0" w:noHBand="0" w:noVBand="1" w:val="04A0"/>
      </w:tblPr>
      <w:tblGrid>
        <w:gridCol w:w="4986"/>
        <w:gridCol w:w="4986"/>
      </w:tblGrid>
      <w:tr>
        <w:tc>
          <w:tcPr>
            <w:tcW w:type="dxa" w:w="4986"/>
            <w:shd w:fill="2F75B5"/>
            <w:vAlign w:val="center"/>
            <w:tcMar>
              <w:top w:w="90" w:type="dxa"/>
              <w:start w:w="90" w:type="dxa"/>
              <w:bottom w:w="90" w:type="dxa"/>
              <w:end w:w="90" w:type="dxa"/>
            </w:tcMar>
          </w:tcPr>
          <w:p>
            <w:r>
              <w:rPr>
                <w:b/>
                <w:color w:val="FFFFFF"/>
                <w:sz w:val="19"/>
              </w:rPr>
              <w:t>Risk or dependency</w:t>
            </w:r>
          </w:p>
        </w:tc>
        <w:tc>
          <w:tcPr>
            <w:tcW w:type="dxa" w:w="4986"/>
            <w:shd w:fill="2F75B5"/>
            <w:vAlign w:val="center"/>
            <w:tcMar>
              <w:top w:w="90" w:type="dxa"/>
              <w:start w:w="90" w:type="dxa"/>
              <w:bottom w:w="90" w:type="dxa"/>
              <w:end w:w="90" w:type="dxa"/>
            </w:tcMar>
          </w:tcPr>
          <w:p>
            <w:r>
              <w:rPr>
                <w:b/>
                <w:color w:val="FFFFFF"/>
                <w:sz w:val="19"/>
              </w:rPr>
              <w:t>Management note</w:t>
            </w:r>
          </w:p>
        </w:tc>
      </w:tr>
      <w:tr>
        <w:tc>
          <w:tcPr>
            <w:tcW w:type="dxa" w:w="4986"/>
            <w:vAlign w:val="center"/>
            <w:tcMar>
              <w:top w:w="90" w:type="dxa"/>
              <w:start w:w="90" w:type="dxa"/>
              <w:bottom w:w="90" w:type="dxa"/>
              <w:end w:w="90" w:type="dxa"/>
            </w:tcMar>
          </w:tcPr>
          <w:p>
            <w:r>
              <w:rPr>
                <w:sz w:val="18"/>
              </w:rPr>
              <w:t>Stable GA4 event tracking</w:t>
            </w:r>
          </w:p>
        </w:tc>
        <w:tc>
          <w:tcPr>
            <w:tcW w:type="dxa" w:w="4986"/>
            <w:vAlign w:val="center"/>
            <w:tcMar>
              <w:top w:w="90" w:type="dxa"/>
              <w:start w:w="90" w:type="dxa"/>
              <w:bottom w:w="90" w:type="dxa"/>
              <w:end w:w="90" w:type="dxa"/>
            </w:tcMar>
          </w:tcPr>
          <w:p>
            <w:r>
              <w:rPr>
                <w:sz w:val="18"/>
              </w:rPr>
              <w:t>Event names and parameters should be documented before schema changes.</w:t>
            </w:r>
          </w:p>
        </w:tc>
      </w:tr>
      <w:tr>
        <w:tc>
          <w:tcPr>
            <w:tcW w:type="dxa" w:w="4986"/>
            <w:vAlign w:val="center"/>
            <w:tcMar>
              <w:top w:w="90" w:type="dxa"/>
              <w:start w:w="90" w:type="dxa"/>
              <w:bottom w:w="90" w:type="dxa"/>
              <w:end w:w="90" w:type="dxa"/>
            </w:tcMar>
            <w:shd w:fill="F4F7FA"/>
          </w:tcPr>
          <w:p>
            <w:r>
              <w:rPr>
                <w:sz w:val="18"/>
              </w:rPr>
              <w:t>BigQuery access and export continuity</w:t>
            </w:r>
          </w:p>
        </w:tc>
        <w:tc>
          <w:tcPr>
            <w:tcW w:type="dxa" w:w="4986"/>
            <w:vAlign w:val="center"/>
            <w:tcMar>
              <w:top w:w="90" w:type="dxa"/>
              <w:start w:w="90" w:type="dxa"/>
              <w:bottom w:w="90" w:type="dxa"/>
              <w:end w:w="90" w:type="dxa"/>
            </w:tcMar>
            <w:shd w:fill="F4F7FA"/>
          </w:tcPr>
          <w:p>
            <w:r>
              <w:rPr>
                <w:sz w:val="18"/>
              </w:rPr>
              <w:t>Exact rolling retention depends on continued GA4 BigQuery export availability.</w:t>
            </w:r>
          </w:p>
        </w:tc>
      </w:tr>
      <w:tr>
        <w:tc>
          <w:tcPr>
            <w:tcW w:type="dxa" w:w="4986"/>
            <w:vAlign w:val="center"/>
            <w:tcMar>
              <w:top w:w="90" w:type="dxa"/>
              <w:start w:w="90" w:type="dxa"/>
              <w:bottom w:w="90" w:type="dxa"/>
              <w:end w:w="90" w:type="dxa"/>
            </w:tcMar>
          </w:tcPr>
          <w:p>
            <w:r>
              <w:rPr>
                <w:sz w:val="18"/>
              </w:rPr>
              <w:t>KPI definition approval</w:t>
            </w:r>
          </w:p>
        </w:tc>
        <w:tc>
          <w:tcPr>
            <w:tcW w:type="dxa" w:w="4986"/>
            <w:vAlign w:val="center"/>
            <w:tcMar>
              <w:top w:w="90" w:type="dxa"/>
              <w:start w:w="90" w:type="dxa"/>
              <w:bottom w:w="90" w:type="dxa"/>
              <w:end w:w="90" w:type="dxa"/>
            </w:tcMar>
          </w:tcPr>
          <w:p>
            <w:r>
              <w:rPr>
                <w:sz w:val="18"/>
              </w:rPr>
              <w:t>Business signoff prevents dashboard logic from drifting from management expectations.</w:t>
            </w:r>
          </w:p>
        </w:tc>
      </w:tr>
      <w:tr>
        <w:tc>
          <w:tcPr>
            <w:tcW w:type="dxa" w:w="4986"/>
            <w:vAlign w:val="center"/>
            <w:tcMar>
              <w:top w:w="90" w:type="dxa"/>
              <w:start w:w="90" w:type="dxa"/>
              <w:bottom w:w="90" w:type="dxa"/>
              <w:end w:w="90" w:type="dxa"/>
            </w:tcMar>
            <w:shd w:fill="F4F7FA"/>
          </w:tcPr>
          <w:p>
            <w:r>
              <w:rPr>
                <w:sz w:val="18"/>
              </w:rPr>
              <w:t>Stakeholder availability</w:t>
            </w:r>
          </w:p>
        </w:tc>
        <w:tc>
          <w:tcPr>
            <w:tcW w:type="dxa" w:w="4986"/>
            <w:vAlign w:val="center"/>
            <w:tcMar>
              <w:top w:w="90" w:type="dxa"/>
              <w:start w:w="90" w:type="dxa"/>
              <w:bottom w:w="90" w:type="dxa"/>
              <w:end w:w="90" w:type="dxa"/>
            </w:tcMar>
            <w:shd w:fill="F4F7FA"/>
          </w:tcPr>
          <w:p>
            <w:r>
              <w:rPr>
                <w:sz w:val="18"/>
              </w:rPr>
              <w:t>Periodic review is needed to keep reports actionable and aligned.</w:t>
            </w:r>
          </w:p>
        </w:tc>
      </w:tr>
    </w:tbl>
    <w:p/>
    <w:p>
      <w:pPr>
        <w:pStyle w:val="Heading1"/>
        <w:spacing w:before="240" w:after="80"/>
      </w:pPr>
      <w:r>
        <w:rPr>
          <w:color w:val="1F4E78"/>
        </w:rPr>
        <w:t>15. Manager-Ready Conclusion</w:t>
      </w:r>
    </w:p>
    <w:p>
      <w:pPr>
        <w:spacing w:after="120"/>
      </w:pPr>
      <w:r>
        <w:t>The Sumlink Analytics Dashboard is ready for management review. It provides one consolidated view of executive health, acquisition, onboarding, gameplay, and retention. The production backend is live on Render, the dashboard is deployed in Appsmith Cloud, GA4 connectivity is confirmed, and exact rolling-retention calculations are supported by BigQuery user-level data.</w:t>
      </w:r>
    </w:p>
    <w:p>
      <w:pPr>
        <w:spacing w:after="120"/>
      </w:pPr>
      <w:r>
        <w:t>The manager should receive the deployed Appsmith Cloud application link rather than a localhost URL. Before sharing, confirm access in a private browser window and either enable approved public access or invite the manager's email address.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Prepared by Harsha S | 17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SUMLINK ANALYTICS DASHBOARD | MANAGER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