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sz w:val="140"/>
          <w:szCs w:val="140"/>
        </w:rPr>
        <w:t xml:space="preserve">🏥</w:t>
      </w:r>
    </w:p>
    <w:p>
      <w:pPr>
        <w:spacing w:before="200" w:after="0"/>
      </w:pPr>
      <w:r>
        <w:t xml:space="preserve"/>
      </w:r>
    </w:p>
    <w:p>
      <w:pPr>
        <w:spacing w:before="0" w:after="80"/>
        <w:jc w:val="center"/>
      </w:pPr>
      <w:r>
        <w:rPr>
          <w:rFonts w:ascii="Calibri" w:cs="Calibri" w:eastAsia="Calibri" w:hAnsi="Calibri"/>
          <w:b/>
          <w:bCs/>
          <w:color w:val="0A2C5E"/>
          <w:sz w:val="60"/>
          <w:szCs w:val="60"/>
        </w:rPr>
        <w:t xml:space="preserve">GLOBAL HEALTHCARE CRISIS</w:t>
      </w:r>
    </w:p>
    <w:p>
      <w:pPr>
        <w:spacing w:before="0" w:after="60"/>
        <w:jc w:val="center"/>
      </w:pPr>
      <w:r>
        <w:rPr>
          <w:rFonts w:ascii="Calibri" w:cs="Calibri" w:eastAsia="Calibri" w:hAnsi="Calibri"/>
          <w:i/>
          <w:iCs/>
          <w:color w:val="777777"/>
          <w:sz w:val="28"/>
          <w:szCs w:val="28"/>
        </w:rPr>
        <w:t xml:space="preserve">Business Analysis &amp; Data Analysis Project</w:t>
      </w:r>
    </w:p>
    <w:p>
      <w:pPr>
        <w:spacing w:before="300" w:after="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right"/>
            </w:pPr>
            <w:r>
              <w:rPr>
                <w:rFonts w:ascii="Calibri" w:cs="Calibri" w:eastAsia="Calibri" w:hAnsi="Calibri"/>
                <w:b/>
                <w:bCs/>
                <w:color w:val="1B4F8A"/>
                <w:sz w:val="22"/>
                <w:szCs w:val="22"/>
              </w:rPr>
              <w:t xml:space="preserve">Analyst:</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0" w:after="0"/>
            </w:pPr>
            <w:r>
              <w:rPr>
                <w:rFonts w:ascii="Calibri" w:cs="Calibri" w:eastAsia="Calibri" w:hAnsi="Calibri"/>
                <w:color w:val="222222"/>
                <w:sz w:val="22"/>
                <w:szCs w:val="22"/>
              </w:rPr>
              <w:t xml:space="preserve">Harsh Patel</w:t>
            </w:r>
          </w:p>
        </w:tc>
      </w:tr>
      <w:tr>
        <w:tc>
          <w:tcPr>
            <w:tcW w:type="dxa" w:w="252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right"/>
            </w:pPr>
            <w:r>
              <w:rPr>
                <w:rFonts w:ascii="Calibri" w:cs="Calibri" w:eastAsia="Calibri" w:hAnsi="Calibri"/>
                <w:b/>
                <w:bCs/>
                <w:color w:val="1B4F8A"/>
                <w:sz w:val="22"/>
                <w:szCs w:val="22"/>
              </w:rPr>
              <w:t xml:space="preserve">GitHub:</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0" w:after="0"/>
            </w:pPr>
            <w:r>
              <w:rPr>
                <w:rFonts w:ascii="Calibri" w:cs="Calibri" w:eastAsia="Calibri" w:hAnsi="Calibri"/>
                <w:color w:val="222222"/>
                <w:sz w:val="22"/>
                <w:szCs w:val="22"/>
              </w:rPr>
              <w:t xml:space="preserve">github.com/harshaug28</w:t>
            </w:r>
          </w:p>
        </w:tc>
      </w:tr>
      <w:tr>
        <w:tc>
          <w:tcPr>
            <w:tcW w:type="dxa" w:w="252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right"/>
            </w:pPr>
            <w:r>
              <w:rPr>
                <w:rFonts w:ascii="Calibri" w:cs="Calibri" w:eastAsia="Calibri" w:hAnsi="Calibri"/>
                <w:b/>
                <w:bCs/>
                <w:color w:val="1B4F8A"/>
                <w:sz w:val="22"/>
                <w:szCs w:val="22"/>
              </w:rPr>
              <w:t xml:space="preserve">Date:</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0" w:after="0"/>
            </w:pPr>
            <w:r>
              <w:rPr>
                <w:rFonts w:ascii="Calibri" w:cs="Calibri" w:eastAsia="Calibri" w:hAnsi="Calibri"/>
                <w:color w:val="222222"/>
                <w:sz w:val="22"/>
                <w:szCs w:val="22"/>
              </w:rPr>
              <w:t xml:space="preserve">March 2026</w:t>
            </w:r>
          </w:p>
        </w:tc>
      </w:tr>
      <w:tr>
        <w:tc>
          <w:tcPr>
            <w:tcW w:type="dxa" w:w="252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right"/>
            </w:pPr>
            <w:r>
              <w:rPr>
                <w:rFonts w:ascii="Calibri" w:cs="Calibri" w:eastAsia="Calibri" w:hAnsi="Calibri"/>
                <w:b/>
                <w:bCs/>
                <w:color w:val="1B4F8A"/>
                <w:sz w:val="22"/>
                <w:szCs w:val="22"/>
              </w:rPr>
              <w:t xml:space="preserve">Version:</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0" w:after="0"/>
            </w:pPr>
            <w:r>
              <w:rPr>
                <w:rFonts w:ascii="Calibri" w:cs="Calibri" w:eastAsia="Calibri" w:hAnsi="Calibri"/>
                <w:color w:val="222222"/>
                <w:sz w:val="22"/>
                <w:szCs w:val="22"/>
              </w:rPr>
              <w:t xml:space="preserve">2.0 — Final</w:t>
            </w:r>
          </w:p>
        </w:tc>
      </w:tr>
      <w:tr>
        <w:tc>
          <w:tcPr>
            <w:tcW w:type="dxa" w:w="252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right"/>
            </w:pPr>
            <w:r>
              <w:rPr>
                <w:rFonts w:ascii="Calibri" w:cs="Calibri" w:eastAsia="Calibri" w:hAnsi="Calibri"/>
                <w:b/>
                <w:bCs/>
                <w:color w:val="1B4F8A"/>
                <w:sz w:val="22"/>
                <w:szCs w:val="22"/>
              </w:rPr>
              <w:t xml:space="preserve">Domain:</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0" w:after="0"/>
            </w:pPr>
            <w:r>
              <w:rPr>
                <w:rFonts w:ascii="Calibri" w:cs="Calibri" w:eastAsia="Calibri" w:hAnsi="Calibri"/>
                <w:color w:val="222222"/>
                <w:sz w:val="22"/>
                <w:szCs w:val="22"/>
              </w:rPr>
              <w:t xml:space="preserve">Public Health / Healthcare</w:t>
            </w:r>
          </w:p>
        </w:tc>
      </w:tr>
    </w:tbl>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1.  Executive Summary</w:t>
      </w:r>
    </w:p>
    <w:p>
      <w:pPr>
        <w:spacing w:before="80" w:after="80"/>
      </w:pPr>
      <w:r>
        <w:rPr>
          <w:rFonts w:ascii="Calibri" w:cs="Calibri" w:eastAsia="Calibri" w:hAnsi="Calibri"/>
          <w:color w:val="222222"/>
          <w:sz w:val="22"/>
          <w:szCs w:val="22"/>
        </w:rPr>
        <w:t xml:space="preserve">This report presents a structured, data-driven investigation into the global healthcare crisis — one of the most urgent and solvable challenges of the 21st century. Using a dataset of 37 countries across 6 world regions, the analysis examines healthcare spending, access, workforce, and disease burden to identify where the system is failing and what targeted interventions can fix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6"/>
              <w:left w:val="single" w:color="1B4F8A" w:sz="6"/>
              <w:bottom w:val="single" w:color="1B4F8A" w:sz="6"/>
              <w:right w:val="single" w:color="1B4F8A" w:sz="6"/>
            </w:tcBorders>
            <w:shd w:fill="FFE5E5" w:val="clear"/>
            <w:tcMar>
              <w:top w:type="dxa" w:w="200"/>
              <w:left w:type="dxa" w:w="180"/>
              <w:bottom w:type="dxa" w:w="200"/>
              <w:right w:type="dxa" w:w="180"/>
            </w:tcMar>
            <w:vAlign w:val="center"/>
          </w:tcPr>
          <w:p>
            <w:pPr>
              <w:spacing w:before="0" w:after="0"/>
              <w:jc w:val="center"/>
            </w:pPr>
            <w:r>
              <w:rPr>
                <w:rFonts w:ascii="Calibri" w:cs="Calibri" w:eastAsia="Calibri" w:hAnsi="Calibri"/>
                <w:b/>
                <w:bCs/>
                <w:color w:val="0A2C5E"/>
                <w:sz w:val="52"/>
                <w:szCs w:val="52"/>
              </w:rPr>
              <w:t xml:space="preserve">17M</w:t>
            </w:r>
          </w:p>
          <w:p>
            <w:pPr>
              <w:spacing w:before="60" w:after="0"/>
              <w:jc w:val="center"/>
            </w:pPr>
            <w:r>
              <w:rPr>
                <w:rFonts w:ascii="Calibri" w:cs="Calibri" w:eastAsia="Calibri" w:hAnsi="Calibri"/>
                <w:color w:val="444444"/>
                <w:sz w:val="18"/>
                <w:szCs w:val="18"/>
              </w:rPr>
              <w:t xml:space="preserve">Preventable Deaths Per Year</w:t>
            </w:r>
          </w:p>
        </w:tc>
        <w:tc>
          <w:tcPr>
            <w:tcW w:type="dxa" w:w="3120"/>
            <w:tcBorders>
              <w:top w:val="single" w:color="1B4F8A" w:sz="6"/>
              <w:left w:val="single" w:color="1B4F8A" w:sz="6"/>
              <w:bottom w:val="single" w:color="1B4F8A" w:sz="6"/>
              <w:right w:val="single" w:color="1B4F8A" w:sz="6"/>
            </w:tcBorders>
            <w:shd w:fill="FFF3CD" w:val="clear"/>
            <w:tcMar>
              <w:top w:type="dxa" w:w="200"/>
              <w:left w:type="dxa" w:w="180"/>
              <w:bottom w:type="dxa" w:w="200"/>
              <w:right w:type="dxa" w:w="180"/>
            </w:tcMar>
            <w:vAlign w:val="center"/>
          </w:tcPr>
          <w:p>
            <w:pPr>
              <w:spacing w:before="0" w:after="0"/>
              <w:jc w:val="center"/>
            </w:pPr>
            <w:r>
              <w:rPr>
                <w:rFonts w:ascii="Calibri" w:cs="Calibri" w:eastAsia="Calibri" w:hAnsi="Calibri"/>
                <w:b/>
                <w:bCs/>
                <w:color w:val="0A2C5E"/>
                <w:sz w:val="52"/>
                <w:szCs w:val="52"/>
              </w:rPr>
              <w:t xml:space="preserve">$122</w:t>
            </w:r>
          </w:p>
          <w:p>
            <w:pPr>
              <w:spacing w:before="60" w:after="0"/>
              <w:jc w:val="center"/>
            </w:pPr>
            <w:r>
              <w:rPr>
                <w:rFonts w:ascii="Calibri" w:cs="Calibri" w:eastAsia="Calibri" w:hAnsi="Calibri"/>
                <w:color w:val="444444"/>
                <w:sz w:val="18"/>
                <w:szCs w:val="18"/>
              </w:rPr>
              <w:t xml:space="preserve">Avg. Health Spend in Sub-Saharan Africa</w:t>
            </w:r>
          </w:p>
        </w:tc>
        <w:tc>
          <w:tcPr>
            <w:tcW w:type="dxa" w:w="3120"/>
            <w:tcBorders>
              <w:top w:val="single" w:color="1B4F8A" w:sz="6"/>
              <w:left w:val="single" w:color="1B4F8A" w:sz="6"/>
              <w:bottom w:val="single" w:color="1B4F8A" w:sz="6"/>
              <w:right w:val="single" w:color="1B4F8A" w:sz="6"/>
            </w:tcBorders>
            <w:shd w:fill="D4EDDA" w:val="clear"/>
            <w:tcMar>
              <w:top w:type="dxa" w:w="200"/>
              <w:left w:type="dxa" w:w="180"/>
              <w:bottom w:type="dxa" w:w="200"/>
              <w:right w:type="dxa" w:w="180"/>
            </w:tcMar>
            <w:vAlign w:val="center"/>
          </w:tcPr>
          <w:p>
            <w:pPr>
              <w:spacing w:before="0" w:after="0"/>
              <w:jc w:val="center"/>
            </w:pPr>
            <w:r>
              <w:rPr>
                <w:rFonts w:ascii="Calibri" w:cs="Calibri" w:eastAsia="Calibri" w:hAnsi="Calibri"/>
                <w:b/>
                <w:bCs/>
                <w:color w:val="0A2C5E"/>
                <w:sz w:val="52"/>
                <w:szCs w:val="52"/>
              </w:rPr>
              <w:t xml:space="preserve">13.6 yrs</w:t>
            </w:r>
          </w:p>
          <w:p>
            <w:pPr>
              <w:spacing w:before="60" w:after="0"/>
              <w:jc w:val="center"/>
            </w:pPr>
            <w:r>
              <w:rPr>
                <w:rFonts w:ascii="Calibri" w:cs="Calibri" w:eastAsia="Calibri" w:hAnsi="Calibri"/>
                <w:color w:val="444444"/>
                <w:sz w:val="18"/>
                <w:szCs w:val="18"/>
              </w:rPr>
              <w:t xml:space="preserve">Life Expectancy Gap vs. Developed Nations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8"/>
              <w:left w:val="single" w:color="4A90D9" w:sz="20"/>
              <w:bottom w:val="single" w:color="4A90D9" w:sz="8"/>
              <w:right w:val="none" w:color="FFFFFF" w:sz="0"/>
            </w:tcBorders>
            <w:shd w:fill="D6E8F7" w:val="clear"/>
            <w:tcMar>
              <w:top w:type="dxa" w:w="140"/>
              <w:left w:type="dxa" w:w="240"/>
              <w:bottom w:type="dxa" w:w="140"/>
              <w:right w:type="dxa" w:w="240"/>
            </w:tcMar>
          </w:tcPr>
          <w:p>
            <w:pPr>
              <w:spacing w:before="0" w:after="0"/>
            </w:pPr>
            <w:r>
              <w:rPr>
                <w:rFonts w:ascii="Calibri" w:cs="Calibri" w:eastAsia="Calibri" w:hAnsi="Calibri"/>
                <w:i/>
                <w:iCs/>
                <w:color w:val="0A2C5E"/>
                <w:sz w:val="22"/>
                <w:szCs w:val="22"/>
              </w:rPr>
              <w:t xml:space="preserve">The problem is not a lack of medical knowledge — it is the inequitable distribution of healthcare resources, access, and investment across the world.</w:t>
            </w:r>
          </w:p>
        </w:tc>
      </w:tr>
    </w:tbl>
    <w:p>
      <w:pPr>
        <w:spacing w:before="120" w:after="0"/>
      </w:pPr>
      <w:r>
        <w:t xml:space="preserve"/>
      </w:r>
    </w:p>
    <w:p>
      <w:pPr>
        <w:spacing w:before="80" w:after="80"/>
      </w:pPr>
      <w:r>
        <w:rPr>
          <w:rFonts w:ascii="Calibri" w:cs="Calibri" w:eastAsia="Calibri" w:hAnsi="Calibri"/>
          <w:color w:val="222222"/>
          <w:sz w:val="22"/>
          <w:szCs w:val="22"/>
        </w:rPr>
        <w:t xml:space="preserve">Key conclusions from this analysis:</w:t>
      </w:r>
    </w:p>
    <w:p>
      <w:pPr>
        <w:pStyle w:val="ListParagraph"/>
        <w:numPr>
          <w:ilvl w:val="0"/>
          <w:numId w:val="2"/>
        </w:numPr>
        <w:spacing w:before="60" w:after="60"/>
      </w:pPr>
      <w:r>
        <w:rPr>
          <w:rFonts w:ascii="Calibri" w:cs="Calibri" w:eastAsia="Calibri" w:hAnsi="Calibri"/>
          <w:color w:val="222222"/>
          <w:sz w:val="22"/>
          <w:szCs w:val="22"/>
        </w:rPr>
        <w:t xml:space="preserve">Healthcare access index is the strongest predictor of child mortality (r = −0.896), surpassing spending itself</w:t>
      </w:r>
    </w:p>
    <w:p>
      <w:pPr>
        <w:pStyle w:val="ListParagraph"/>
        <w:numPr>
          <w:ilvl w:val="0"/>
          <w:numId w:val="2"/>
        </w:numPr>
        <w:spacing w:before="60" w:after="60"/>
      </w:pPr>
      <w:r>
        <w:rPr>
          <w:rFonts w:ascii="Calibri" w:cs="Calibri" w:eastAsia="Calibri" w:hAnsi="Calibri"/>
          <w:color w:val="222222"/>
          <w:sz w:val="22"/>
          <w:szCs w:val="22"/>
        </w:rPr>
        <w:t xml:space="preserve">Sub-Saharan Africa spends just $122/person vs. $8,688 in North America, yet carries 24% of global disease burden</w:t>
      </w:r>
    </w:p>
    <w:p>
      <w:pPr>
        <w:pStyle w:val="ListParagraph"/>
        <w:numPr>
          <w:ilvl w:val="0"/>
          <w:numId w:val="2"/>
        </w:numPr>
        <w:spacing w:before="60" w:after="60"/>
      </w:pPr>
      <w:r>
        <w:rPr>
          <w:rFonts w:ascii="Calibri" w:cs="Calibri" w:eastAsia="Calibri" w:hAnsi="Calibri"/>
          <w:color w:val="222222"/>
          <w:sz w:val="22"/>
          <w:szCs w:val="22"/>
        </w:rPr>
        <w:t xml:space="preserve">9 countries fall below the critical Access Index threshold of 50 — all in Sub-Saharan Africa or South Asia</w:t>
      </w:r>
    </w:p>
    <w:p>
      <w:pPr>
        <w:pStyle w:val="ListParagraph"/>
        <w:numPr>
          <w:ilvl w:val="0"/>
          <w:numId w:val="2"/>
        </w:numPr>
        <w:spacing w:before="60" w:after="60"/>
      </w:pPr>
      <w:r>
        <w:rPr>
          <w:rFonts w:ascii="Calibri" w:cs="Calibri" w:eastAsia="Calibri" w:hAnsi="Calibri"/>
          <w:color w:val="222222"/>
          <w:sz w:val="22"/>
          <w:szCs w:val="22"/>
        </w:rPr>
        <w:t xml:space="preserve">Expanding vaccination coverage to 95%+ in LMICs could prevent an estimated 1.5 million child deaths per year</w:t>
      </w:r>
    </w:p>
    <w:p>
      <w:pPr>
        <w:pStyle w:val="ListParagraph"/>
        <w:numPr>
          <w:ilvl w:val="0"/>
          <w:numId w:val="2"/>
        </w:numPr>
        <w:spacing w:before="60" w:after="60"/>
      </w:pPr>
      <w:r>
        <w:rPr>
          <w:rFonts w:ascii="Calibri" w:cs="Calibri" w:eastAsia="Calibri" w:hAnsi="Calibri"/>
          <w:color w:val="222222"/>
          <w:sz w:val="22"/>
          <w:szCs w:val="22"/>
        </w:rPr>
        <w:t xml:space="preserve">Every $1 invested in healthcare in low-income countries returns $4 in economic productivity (WHO)</w:t>
      </w:r>
    </w:p>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2.  Problem Statement</w:t>
      </w:r>
    </w:p>
    <w:p>
      <w:pPr>
        <w:pStyle w:val="Heading2"/>
        <w:spacing w:before="300" w:after="120"/>
      </w:pPr>
      <w:r>
        <w:rPr>
          <w:rFonts w:ascii="Calibri" w:cs="Calibri" w:eastAsia="Calibri" w:hAnsi="Calibri"/>
          <w:b/>
          <w:bCs/>
          <w:color w:val="1B4F8A"/>
          <w:sz w:val="28"/>
          <w:szCs w:val="28"/>
        </w:rPr>
        <w:t xml:space="preserve">2.1  Background</w:t>
      </w:r>
    </w:p>
    <w:p>
      <w:pPr>
        <w:spacing w:before="80" w:after="80"/>
      </w:pPr>
      <w:r>
        <w:rPr>
          <w:rFonts w:ascii="Calibri" w:cs="Calibri" w:eastAsia="Calibri" w:hAnsi="Calibri"/>
          <w:color w:val="222222"/>
          <w:sz w:val="22"/>
          <w:szCs w:val="22"/>
        </w:rPr>
        <w:t xml:space="preserve">Every year, millions of people die from diseases that are preventable or treatable with adequate healthcare — not because cures don't exist, but because healthcare systems are underfunded, inaccessible, or inequitably distributed. This is not a failure of science; it is a failure of policy, investment, and systemic equity.</w:t>
      </w:r>
    </w:p>
    <w:p>
      <w:pPr>
        <w:spacing w:before="120" w:after="0"/>
      </w:pPr>
      <w:r>
        <w:t xml:space="preserve"/>
      </w:r>
    </w:p>
    <w:p>
      <w:pPr>
        <w:spacing w:before="80" w:after="80"/>
      </w:pPr>
      <w:r>
        <w:rPr>
          <w:rFonts w:ascii="Calibri" w:cs="Calibri" w:eastAsia="Calibri" w:hAnsi="Calibri"/>
          <w:color w:val="222222"/>
          <w:sz w:val="22"/>
          <w:szCs w:val="22"/>
        </w:rPr>
        <w:t xml:space="preserve">The burden is highly concentrated. Sub-Saharan Africa, home to 14% of the world's population, accounts for over 24% of the global disease burden while receiving only a fraction of global healthcare investment. Low-income countries face a vicious cycle: poor health reduces economic productivity, which reduces government revenue, which reduces healthcare investment, which worsens health outcomes.</w:t>
      </w:r>
    </w:p>
    <w:p>
      <w:pPr>
        <w:spacing w:before="120" w:after="0"/>
      </w:pPr>
      <w:r>
        <w:t xml:space="preserve"/>
      </w:r>
    </w:p>
    <w:p>
      <w:pPr>
        <w:pStyle w:val="Heading2"/>
        <w:spacing w:before="300" w:after="120"/>
      </w:pPr>
      <w:r>
        <w:rPr>
          <w:rFonts w:ascii="Calibri" w:cs="Calibri" w:eastAsia="Calibri" w:hAnsi="Calibri"/>
          <w:b/>
          <w:bCs/>
          <w:color w:val="1B4F8A"/>
          <w:sz w:val="28"/>
          <w:szCs w:val="28"/>
        </w:rPr>
        <w:t xml:space="preserve">2.2  Top Preventable Causes of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560"/>
        <w:gridCol w:w="1600"/>
      </w:tblGrid>
      <w:tr>
        <w:trPr>
          <w:tblHeader/>
        </w:trPr>
        <w:tc>
          <w:tcPr>
            <w:tcW w:type="dxa" w:w="3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Cause of Death</w:t>
            </w:r>
          </w:p>
        </w:tc>
        <w:tc>
          <w:tcPr>
            <w:tcW w:type="dxa" w:w="2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Annual Deaths (Global)</w:t>
            </w:r>
          </w:p>
        </w:tc>
        <w:tc>
          <w:tcPr>
            <w:tcW w:type="dxa" w:w="25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Highest Burden Region</w:t>
            </w:r>
          </w:p>
        </w:tc>
        <w:tc>
          <w:tcPr>
            <w:tcW w:type="dxa" w:w="1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Preventable?</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Cardiovascular Disease</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17.9 million</w:t>
            </w:r>
          </w:p>
        </w:tc>
        <w:tc>
          <w:tcPr>
            <w:tcW w:type="dxa" w:w="25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All regions (rising in LMICs)</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Partially ✅</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Lower Respiratory Infections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2.6 million</w:t>
            </w:r>
          </w:p>
        </w:tc>
        <w:tc>
          <w:tcPr>
            <w:tcW w:type="dxa" w:w="25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 South Asia</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Largely ✅</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Tuberculosis (TB)</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1.6 million</w:t>
            </w:r>
          </w:p>
        </w:tc>
        <w:tc>
          <w:tcPr>
            <w:tcW w:type="dxa" w:w="25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 South Asia</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Yes ✅</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Diarrhoeal Diseases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1.5 million</w:t>
            </w:r>
          </w:p>
        </w:tc>
        <w:tc>
          <w:tcPr>
            <w:tcW w:type="dxa" w:w="25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Yes ✅</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Neonatal Conditions</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2.4 million</w:t>
            </w:r>
          </w:p>
        </w:tc>
        <w:tc>
          <w:tcPr>
            <w:tcW w:type="dxa" w:w="25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 South Asia</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Largely ✅</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Malaria</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619,000</w:t>
            </w:r>
          </w:p>
        </w:tc>
        <w:tc>
          <w:tcPr>
            <w:tcW w:type="dxa" w:w="25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 (90%)</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Yes ✅</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Preventable Maternal Deaths</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295,000</w:t>
            </w:r>
          </w:p>
        </w:tc>
        <w:tc>
          <w:tcPr>
            <w:tcW w:type="dxa" w:w="25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 South Asia</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Yes ✅</w:t>
            </w:r>
          </w:p>
        </w:tc>
      </w:tr>
    </w:tbl>
    <w:p>
      <w:pPr>
        <w:spacing w:before="120" w:after="0"/>
      </w:pPr>
      <w:r>
        <w:t xml:space="preserve"/>
      </w:r>
    </w:p>
    <w:p>
      <w:pPr>
        <w:spacing w:before="80" w:after="80"/>
      </w:pPr>
      <w:r>
        <w:rPr>
          <w:rFonts w:ascii="Calibri" w:cs="Calibri" w:eastAsia="Calibri" w:hAnsi="Calibri"/>
          <w:i/>
          <w:iCs/>
          <w:color w:val="777777"/>
          <w:sz w:val="22"/>
          <w:szCs w:val="22"/>
        </w:rPr>
        <w:t xml:space="preserve">Source: WHO Global Health Observatory, IHME Global Burden of Disease Study 2022</w:t>
      </w:r>
    </w:p>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3.  Data Analysis &amp; Findings</w:t>
      </w:r>
    </w:p>
    <w:p>
      <w:pPr>
        <w:pStyle w:val="Heading2"/>
        <w:spacing w:before="300" w:after="120"/>
      </w:pPr>
      <w:r>
        <w:rPr>
          <w:rFonts w:ascii="Calibri" w:cs="Calibri" w:eastAsia="Calibri" w:hAnsi="Calibri"/>
          <w:b/>
          <w:bCs/>
          <w:color w:val="1B4F8A"/>
          <w:sz w:val="28"/>
          <w:szCs w:val="28"/>
        </w:rPr>
        <w:t xml:space="preserve">3.1  Dataset Overview</w:t>
      </w:r>
    </w:p>
    <w:p>
      <w:pPr>
        <w:spacing w:before="80" w:after="80"/>
      </w:pPr>
      <w:r>
        <w:rPr>
          <w:rFonts w:ascii="Calibri" w:cs="Calibri" w:eastAsia="Calibri" w:hAnsi="Calibri"/>
          <w:color w:val="222222"/>
          <w:sz w:val="22"/>
          <w:szCs w:val="22"/>
        </w:rPr>
        <w:t xml:space="preserve">The analysis uses a 37-country dataset calibrated to real-world WHO and World Bank benchmark ranges, covering all 6 major world regions. Twelve indicators were collected per country, spanning healthcare investment, workforce, infrastructure, disease burden, and health outcomes.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Indicator</w:t>
            </w:r>
          </w:p>
        </w:tc>
        <w:tc>
          <w:tcPr>
            <w:tcW w:type="dxa" w:w="39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Description</w:t>
            </w:r>
          </w:p>
        </w:tc>
        <w:tc>
          <w:tcPr>
            <w:tcW w:type="dxa" w:w="2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Source</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Health Spend/Capita (USD)</w:t>
            </w:r>
          </w:p>
        </w:tc>
        <w:tc>
          <w:tcPr>
            <w:tcW w:type="dxa" w:w="39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Total public + private health expenditure per person</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World Bank</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Life Expectancy (years)</w:t>
            </w:r>
          </w:p>
        </w:tc>
        <w:tc>
          <w:tcPr>
            <w:tcW w:type="dxa" w:w="39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Average years of life at birth</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WHO GHO</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Healthcare Access Index</w:t>
            </w:r>
          </w:p>
        </w:tc>
        <w:tc>
          <w:tcPr>
            <w:tcW w:type="dxa" w:w="39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Composite: proximity + affordability + quality (0–100)</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IHME HAQ</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Under-5 Mortality/1,000</w:t>
            </w:r>
          </w:p>
        </w:tc>
        <w:tc>
          <w:tcPr>
            <w:tcW w:type="dxa" w:w="39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Child deaths per 1,000 live births</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UNICEF</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Vaccination Coverage %</w:t>
            </w:r>
          </w:p>
        </w:tc>
        <w:tc>
          <w:tcPr>
            <w:tcW w:type="dxa" w:w="39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DTP3 + Measles combined coverage rate</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WHO/UNICEF</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Physicians per 1,000</w:t>
            </w:r>
          </w:p>
        </w:tc>
        <w:tc>
          <w:tcPr>
            <w:tcW w:type="dxa" w:w="39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Licensed doctors per 1,000 population</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World Bank</w:t>
            </w:r>
          </w:p>
        </w:tc>
      </w:tr>
      <w:tr>
        <w:tc>
          <w:tcPr>
            <w:tcW w:type="dxa" w:w="3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Hospital Beds per 1,000</w:t>
            </w:r>
          </w:p>
        </w:tc>
        <w:tc>
          <w:tcPr>
            <w:tcW w:type="dxa" w:w="39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Inpatient beds per 1,000 population</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World Bank</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TB Prevalence/100k</w:t>
            </w:r>
          </w:p>
        </w:tc>
        <w:tc>
          <w:tcPr>
            <w:tcW w:type="dxa" w:w="39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TB cases per 100,000 population</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WHO</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3.2  Spending vs. Life Expectancy</w:t>
      </w:r>
    </w:p>
    <w:p>
      <w:pPr>
        <w:spacing w:before="80" w:after="80"/>
      </w:pPr>
      <w:r>
        <w:rPr>
          <w:rFonts w:ascii="Calibri" w:cs="Calibri" w:eastAsia="Calibri" w:hAnsi="Calibri"/>
          <w:color w:val="222222"/>
          <w:sz w:val="22"/>
          <w:szCs w:val="22"/>
        </w:rPr>
        <w:t xml:space="preserve">The scatter plot below shows the relationship between per-capita healthcare spending and life expectancy. Countries are colour-coded by world region. The logarithmic trend line demonstrates that investment in healthcare has a strong, statistically significant relationship with longer lives — especially at the lower end of the spending range, where each additional dollar has the greatest impact.</w:t>
      </w:r>
    </w:p>
    <w:p>
      <w:pPr>
        <w:spacing w:before="120" w:after="0"/>
      </w:pPr>
      <w:r>
        <w:t xml:space="preserve"/>
      </w:r>
    </w:p>
    <w:p>
      <w:pPr>
        <w:spacing w:before="160" w:after="160"/>
        <w:jc w:val="center"/>
      </w:pPr>
      <w:r>
        <w:drawing>
          <wp:inline distT="0" distB="0" distL="0" distR="0">
            <wp:extent cx="5524500" cy="3095625"/>
            <wp:effectExtent t="0" r="0" b="0" l="0"/>
            <wp:docPr id="1" name="spending_vs_outcomes.png" descr="spending_vs_outcomes.png" title="spending_vs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95625"/>
                    </a:xfrm>
                    <a:prstGeom prst="rect">
                      <a:avLst/>
                    </a:prstGeom>
                  </pic:spPr>
                </pic:pic>
              </a:graphicData>
            </a:graphic>
          </wp:inline>
        </w:drawing>
      </w:r>
    </w:p>
    <w:p>
      <w:pPr>
        <w:spacing w:before="80" w:after="80"/>
      </w:pPr>
      <w:r>
        <w:rPr>
          <w:rFonts w:ascii="Calibri" w:cs="Calibri" w:eastAsia="Calibri" w:hAnsi="Calibri"/>
          <w:i/>
          <w:iCs/>
          <w:color w:val="777777"/>
          <w:sz w:val="22"/>
          <w:szCs w:val="22"/>
        </w:rPr>
        <w:t xml:space="preserve">Figure 1: Healthcare Spending per Capita (log scale) vs. Life Expectancy. Pearson r = 0.658, p &lt; 0.001. Trend line fitted to log-transformed spending values.</w:t>
      </w:r>
    </w:p>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3.3  Under-5 Mortality by Region</w:t>
      </w:r>
    </w:p>
    <w:p>
      <w:pPr>
        <w:spacing w:before="80" w:after="80"/>
      </w:pPr>
      <w:r>
        <w:rPr>
          <w:rFonts w:ascii="Calibri" w:cs="Calibri" w:eastAsia="Calibri" w:hAnsi="Calibri"/>
          <w:color w:val="222222"/>
          <w:sz w:val="22"/>
          <w:szCs w:val="22"/>
        </w:rPr>
        <w:t xml:space="preserve">Child mortality is one of the most sensitive indicators of healthcare system performance. It reflects vaccination coverage, maternal health services, sanitation, and access to treatment for common childhood illnesses. The disparity across regions is stark:</w:t>
      </w:r>
    </w:p>
    <w:p>
      <w:pPr>
        <w:spacing w:before="120" w:after="0"/>
      </w:pPr>
      <w:r>
        <w:t xml:space="preserve"/>
      </w:r>
    </w:p>
    <w:p>
      <w:pPr>
        <w:spacing w:before="160" w:after="160"/>
        <w:jc w:val="center"/>
      </w:pPr>
      <w:r>
        <w:drawing>
          <wp:inline distT="0" distB="0" distL="0" distR="0">
            <wp:extent cx="5524500" cy="2952750"/>
            <wp:effectExtent t="0" r="0" b="0" l="0"/>
            <wp:docPr id="1" name="mortality_by_region.png" descr="mortality_by_region.png" title="mortality_by_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52750"/>
                    </a:xfrm>
                    <a:prstGeom prst="rect">
                      <a:avLst/>
                    </a:prstGeom>
                  </pic:spPr>
                </pic:pic>
              </a:graphicData>
            </a:graphic>
          </wp:inline>
        </w:drawing>
      </w:r>
    </w:p>
    <w:p>
      <w:pPr>
        <w:spacing w:before="80" w:after="80"/>
      </w:pPr>
      <w:r>
        <w:rPr>
          <w:rFonts w:ascii="Calibri" w:cs="Calibri" w:eastAsia="Calibri" w:hAnsi="Calibri"/>
          <w:i/>
          <w:iCs/>
          <w:color w:val="777777"/>
          <w:sz w:val="22"/>
          <w:szCs w:val="22"/>
        </w:rPr>
        <w:t xml:space="preserve">Figure 2: Average under-5 mortality rate (deaths per 1,000 live births) by region. The dashed yellow line marks the global average of ~30. Sub-Saharan Africa's rate of 94.6 is nearly 18× North America's rate of 5.1.</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8"/>
              <w:left w:val="single" w:color="4A90D9" w:sz="20"/>
              <w:bottom w:val="single" w:color="4A90D9" w:sz="8"/>
              <w:right w:val="none" w:color="FFFFFF" w:sz="0"/>
            </w:tcBorders>
            <w:shd w:fill="D6E8F7" w:val="clear"/>
            <w:tcMar>
              <w:top w:type="dxa" w:w="140"/>
              <w:left w:type="dxa" w:w="240"/>
              <w:bottom w:type="dxa" w:w="140"/>
              <w:right w:type="dxa" w:w="240"/>
            </w:tcMar>
          </w:tcPr>
          <w:p>
            <w:pPr>
              <w:spacing w:before="0" w:after="0"/>
            </w:pPr>
            <w:r>
              <w:rPr>
                <w:rFonts w:ascii="Calibri" w:cs="Calibri" w:eastAsia="Calibri" w:hAnsi="Calibri"/>
                <w:i/>
                <w:iCs/>
                <w:color w:val="0A2C5E"/>
                <w:sz w:val="22"/>
                <w:szCs w:val="22"/>
              </w:rPr>
              <w:t xml:space="preserve">Sub-Saharan Africa's child mortality rate of 94.6/1,000 is nearly 18 times higher than North America's 5.1. This gap is almost entirely attributable to preventable infections, malnutrition, and absent vaccine access.</w:t>
            </w:r>
          </w:p>
        </w:tc>
      </w:tr>
    </w:tbl>
    <w:p>
      <w:r>
        <w:br w:type="page"/>
      </w:r>
    </w:p>
    <w:p>
      <w:pPr>
        <w:pStyle w:val="Heading2"/>
        <w:spacing w:before="300" w:after="120"/>
      </w:pPr>
      <w:r>
        <w:rPr>
          <w:rFonts w:ascii="Calibri" w:cs="Calibri" w:eastAsia="Calibri" w:hAnsi="Calibri"/>
          <w:b/>
          <w:bCs/>
          <w:color w:val="1B4F8A"/>
          <w:sz w:val="28"/>
          <w:szCs w:val="28"/>
        </w:rPr>
        <w:t xml:space="preserve">3.4  Healthcare System Performance Heatmap</w:t>
      </w:r>
    </w:p>
    <w:p>
      <w:pPr>
        <w:spacing w:before="80" w:after="80"/>
      </w:pPr>
      <w:r>
        <w:rPr>
          <w:rFonts w:ascii="Calibri" w:cs="Calibri" w:eastAsia="Calibri" w:hAnsi="Calibri"/>
          <w:color w:val="222222"/>
          <w:sz w:val="22"/>
          <w:szCs w:val="22"/>
        </w:rPr>
        <w:t xml:space="preserve">The heatmap below presents a multi-dimensional view of healthcare system performance. Actual values are shown in each cell; background colour indicates relative score on a 0–1 scale (green = best, red = worst) normalised within each indicator column. This view allows direct comparison of how each region performs across all five dimensions simultaneously.</w:t>
      </w:r>
    </w:p>
    <w:p>
      <w:pPr>
        <w:spacing w:before="120" w:after="0"/>
      </w:pPr>
      <w:r>
        <w:t xml:space="preserve"/>
      </w:r>
    </w:p>
    <w:p>
      <w:pPr>
        <w:spacing w:before="160" w:after="160"/>
        <w:jc w:val="center"/>
      </w:pPr>
      <w:r>
        <w:drawing>
          <wp:inline distT="0" distB="0" distL="0" distR="0">
            <wp:extent cx="5524500" cy="2952750"/>
            <wp:effectExtent t="0" r="0" b="0" l="0"/>
            <wp:docPr id="1" name="disease_burden_heatmap.png" descr="disease_burden_heatmap.png" title="disease_burde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52750"/>
                    </a:xfrm>
                    <a:prstGeom prst="rect">
                      <a:avLst/>
                    </a:prstGeom>
                  </pic:spPr>
                </pic:pic>
              </a:graphicData>
            </a:graphic>
          </wp:inline>
        </w:drawing>
      </w:r>
    </w:p>
    <w:p>
      <w:pPr>
        <w:spacing w:before="80" w:after="80"/>
      </w:pPr>
      <w:r>
        <w:rPr>
          <w:rFonts w:ascii="Calibri" w:cs="Calibri" w:eastAsia="Calibri" w:hAnsi="Calibri"/>
          <w:i/>
          <w:iCs/>
          <w:color w:val="777777"/>
          <w:sz w:val="22"/>
          <w:szCs w:val="22"/>
        </w:rPr>
        <w:t xml:space="preserve">Figure 3: Regional healthcare system performance across five key indicators. Values are actual measurements; colour scale is normalised 0–1 per column.</w:t>
      </w:r>
    </w:p>
    <w:p>
      <w:pPr>
        <w:spacing w:before="120" w:after="0"/>
      </w:pPr>
      <w:r>
        <w:t xml:space="preserve"/>
      </w:r>
    </w:p>
    <w:p>
      <w:pPr>
        <w:spacing w:before="80" w:after="80"/>
      </w:pPr>
      <w:r>
        <w:rPr>
          <w:rFonts w:ascii="Calibri" w:cs="Calibri" w:eastAsia="Calibri" w:hAnsi="Calibri"/>
          <w:color w:val="222222"/>
          <w:sz w:val="22"/>
          <w:szCs w:val="22"/>
        </w:rPr>
        <w:t xml:space="preserve">Notable observations:</w:t>
      </w:r>
    </w:p>
    <w:p>
      <w:pPr>
        <w:pStyle w:val="ListParagraph"/>
        <w:numPr>
          <w:ilvl w:val="0"/>
          <w:numId w:val="2"/>
        </w:numPr>
        <w:spacing w:before="60" w:after="60"/>
      </w:pPr>
      <w:r>
        <w:rPr>
          <w:rFonts w:ascii="Calibri" w:cs="Calibri" w:eastAsia="Calibri" w:hAnsi="Calibri"/>
          <w:color w:val="222222"/>
          <w:sz w:val="22"/>
          <w:szCs w:val="22"/>
        </w:rPr>
        <w:t xml:space="preserve">Europe and North America lead across all five dimensions with relatively minor differences between them</w:t>
      </w:r>
    </w:p>
    <w:p>
      <w:pPr>
        <w:pStyle w:val="ListParagraph"/>
        <w:numPr>
          <w:ilvl w:val="0"/>
          <w:numId w:val="2"/>
        </w:numPr>
        <w:spacing w:before="60" w:after="60"/>
      </w:pPr>
      <w:r>
        <w:rPr>
          <w:rFonts w:ascii="Calibri" w:cs="Calibri" w:eastAsia="Calibri" w:hAnsi="Calibri"/>
          <w:color w:val="222222"/>
          <w:sz w:val="22"/>
          <w:szCs w:val="22"/>
        </w:rPr>
        <w:t xml:space="preserve">Sub-Saharan Africa scores critically low across all five dimensions — there is no area of strength</w:t>
      </w:r>
    </w:p>
    <w:p>
      <w:pPr>
        <w:pStyle w:val="ListParagraph"/>
        <w:numPr>
          <w:ilvl w:val="0"/>
          <w:numId w:val="2"/>
        </w:numPr>
        <w:spacing w:before="60" w:after="60"/>
      </w:pPr>
      <w:r>
        <w:rPr>
          <w:rFonts w:ascii="Calibri" w:cs="Calibri" w:eastAsia="Calibri" w:hAnsi="Calibri"/>
          <w:color w:val="222222"/>
          <w:sz w:val="22"/>
          <w:szCs w:val="22"/>
        </w:rPr>
        <w:t xml:space="preserve">South Asia shows moderate vaccination coverage but remains severely under-resourced in physician availability and access</w:t>
      </w:r>
    </w:p>
    <w:p>
      <w:pPr>
        <w:pStyle w:val="ListParagraph"/>
        <w:numPr>
          <w:ilvl w:val="0"/>
          <w:numId w:val="2"/>
        </w:numPr>
        <w:spacing w:before="60" w:after="60"/>
      </w:pPr>
      <w:r>
        <w:rPr>
          <w:rFonts w:ascii="Calibri" w:cs="Calibri" w:eastAsia="Calibri" w:hAnsi="Calibri"/>
          <w:color w:val="222222"/>
          <w:sz w:val="22"/>
          <w:szCs w:val="22"/>
        </w:rPr>
        <w:t xml:space="preserve">Asia-Pacific's performance is mixed — strong in some nations (Japan, Singapore) but dragged down by others</w:t>
      </w:r>
    </w:p>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3.5  Access Distribution &amp; Correlation Analysis</w:t>
      </w:r>
    </w:p>
    <w:p>
      <w:pPr>
        <w:spacing w:before="160" w:after="160"/>
        <w:jc w:val="center"/>
      </w:pPr>
      <w:r>
        <w:drawing>
          <wp:inline distT="0" distB="0" distL="0" distR="0">
            <wp:extent cx="5524500" cy="2952750"/>
            <wp:effectExtent t="0" r="0" b="0" l="0"/>
            <wp:docPr id="1" name="access_index_map.png" descr="access_index_map.png" title="access_index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52750"/>
                    </a:xfrm>
                    <a:prstGeom prst="rect">
                      <a:avLst/>
                    </a:prstGeom>
                  </pic:spPr>
                </pic:pic>
              </a:graphicData>
            </a:graphic>
          </wp:inline>
        </w:drawing>
      </w:r>
    </w:p>
    <w:p>
      <w:pPr>
        <w:spacing w:before="80" w:after="80"/>
      </w:pPr>
      <w:r>
        <w:rPr>
          <w:rFonts w:ascii="Calibri" w:cs="Calibri" w:eastAsia="Calibri" w:hAnsi="Calibri"/>
          <w:i/>
          <w:iCs/>
          <w:color w:val="777777"/>
          <w:sz w:val="22"/>
          <w:szCs w:val="22"/>
        </w:rPr>
        <w:t xml:space="preserve">Figure 4 (left): Violin plot of Healthcare Access Index distribution by region. The dashed yellow line marks the Access Index threshold of 50 — countries below this face systemic crisis-level gaps. Figure 4 (right): Pearson correlation matrix of key health metrics.</w:t>
      </w:r>
    </w:p>
    <w:p>
      <w:pPr>
        <w:spacing w:before="120" w:after="0"/>
      </w:pPr>
      <w:r>
        <w:t xml:space="preserve"/>
      </w:r>
    </w:p>
    <w:p>
      <w:pPr>
        <w:spacing w:before="80" w:after="80"/>
      </w:pPr>
      <w:r>
        <w:rPr>
          <w:rFonts w:ascii="Calibri" w:cs="Calibri" w:eastAsia="Calibri" w:hAnsi="Calibri"/>
          <w:color w:val="222222"/>
          <w:sz w:val="22"/>
          <w:szCs w:val="22"/>
        </w:rPr>
        <w:t xml:space="preserve">The correlation matrix reveals the strongest relationships in the dataset:</w:t>
      </w:r>
    </w:p>
    <w:p>
      <w:pPr>
        <w:pStyle w:val="ListParagraph"/>
        <w:numPr>
          <w:ilvl w:val="0"/>
          <w:numId w:val="2"/>
        </w:numPr>
        <w:spacing w:before="60" w:after="60"/>
      </w:pPr>
      <w:r>
        <w:rPr>
          <w:rFonts w:ascii="Calibri" w:cs="Calibri" w:eastAsia="Calibri" w:hAnsi="Calibri"/>
          <w:color w:val="222222"/>
          <w:sz w:val="22"/>
          <w:szCs w:val="22"/>
        </w:rPr>
        <w:t xml:space="preserve">Access Index ↔ Child Mortality: r = −0.896 (Very Strong) — the most powerful relationship found</w:t>
      </w:r>
    </w:p>
    <w:p>
      <w:pPr>
        <w:pStyle w:val="ListParagraph"/>
        <w:numPr>
          <w:ilvl w:val="0"/>
          <w:numId w:val="2"/>
        </w:numPr>
        <w:spacing w:before="60" w:after="60"/>
      </w:pPr>
      <w:r>
        <w:rPr>
          <w:rFonts w:ascii="Calibri" w:cs="Calibri" w:eastAsia="Calibri" w:hAnsi="Calibri"/>
          <w:color w:val="222222"/>
          <w:sz w:val="22"/>
          <w:szCs w:val="22"/>
        </w:rPr>
        <w:t xml:space="preserve">Physicians/1k ↔ Life Expectancy: r = +0.720 (Strong) — workforce is a critical lever</w:t>
      </w:r>
    </w:p>
    <w:p>
      <w:pPr>
        <w:pStyle w:val="ListParagraph"/>
        <w:numPr>
          <w:ilvl w:val="0"/>
          <w:numId w:val="2"/>
        </w:numPr>
        <w:spacing w:before="60" w:after="60"/>
      </w:pPr>
      <w:r>
        <w:rPr>
          <w:rFonts w:ascii="Calibri" w:cs="Calibri" w:eastAsia="Calibri" w:hAnsi="Calibri"/>
          <w:color w:val="222222"/>
          <w:sz w:val="22"/>
          <w:szCs w:val="22"/>
        </w:rPr>
        <w:t xml:space="preserve">Spending ↔ Life Expectancy: r = +0.658 (Strong) — investment matters, but access matters more</w:t>
      </w:r>
    </w:p>
    <w:p>
      <w:pPr>
        <w:pStyle w:val="ListParagraph"/>
        <w:numPr>
          <w:ilvl w:val="0"/>
          <w:numId w:val="2"/>
        </w:numPr>
        <w:spacing w:before="60" w:after="60"/>
      </w:pPr>
      <w:r>
        <w:rPr>
          <w:rFonts w:ascii="Calibri" w:cs="Calibri" w:eastAsia="Calibri" w:hAnsi="Calibri"/>
          <w:color w:val="222222"/>
          <w:sz w:val="22"/>
          <w:szCs w:val="22"/>
        </w:rPr>
        <w:t xml:space="preserve">Vaccination ↔ Child Mortality: r = −0.575 (Moderate) — high ROI intervention</w:t>
      </w:r>
    </w:p>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4.  Statistical Analysis Results</w:t>
      </w:r>
    </w:p>
    <w:p>
      <w:pPr>
        <w:pStyle w:val="Heading2"/>
        <w:spacing w:before="300" w:after="120"/>
      </w:pPr>
      <w:r>
        <w:rPr>
          <w:rFonts w:ascii="Calibri" w:cs="Calibri" w:eastAsia="Calibri" w:hAnsi="Calibri"/>
          <w:b/>
          <w:bCs/>
          <w:color w:val="1B4F8A"/>
          <w:sz w:val="28"/>
          <w:szCs w:val="28"/>
        </w:rPr>
        <w:t xml:space="preserve">4.1  Correlation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100"/>
        <w:gridCol w:w="1300"/>
        <w:gridCol w:w="3360"/>
      </w:tblGrid>
      <w:tr>
        <w:trPr>
          <w:tblHeader/>
        </w:trPr>
        <w:tc>
          <w:tcPr>
            <w:tcW w:type="dxa" w:w="2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Metric Pair</w:t>
            </w:r>
          </w:p>
        </w:tc>
        <w:tc>
          <w:tcPr>
            <w:tcW w:type="dxa" w:w="1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r Value</w:t>
            </w:r>
          </w:p>
        </w:tc>
        <w:tc>
          <w:tcPr>
            <w:tcW w:type="dxa" w:w="11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P-Value</w:t>
            </w:r>
          </w:p>
        </w:tc>
        <w:tc>
          <w:tcPr>
            <w:tcW w:type="dxa" w:w="13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Strength</w:t>
            </w:r>
          </w:p>
        </w:tc>
        <w:tc>
          <w:tcPr>
            <w:tcW w:type="dxa" w:w="33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Interpretation</w:t>
            </w:r>
          </w:p>
        </w:tc>
      </w:tr>
      <w:tr>
        <w:tc>
          <w:tcPr>
            <w:tcW w:type="dxa" w:w="2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Access Index ↔ Child Mortality</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−0.896</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&lt; 0.001</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Very Strong</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Higher access → fewer child deaths</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Physicians/1k ↔ Life Expectancy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+0.720</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&lt; 0.001</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Strong</w:t>
            </w:r>
          </w:p>
        </w:tc>
        <w:tc>
          <w:tcPr>
            <w:tcW w:type="dxa" w:w="33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More doctors → longer lives</w:t>
            </w:r>
          </w:p>
        </w:tc>
      </w:tr>
      <w:tr>
        <w:tc>
          <w:tcPr>
            <w:tcW w:type="dxa" w:w="2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Spending ↔ Life Expectancy</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+0.658</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&lt; 0.001</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Strong</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Investment correlates with longevity</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Vaccination ↔ Child Mortality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−0.575</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&lt; 0.001</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Moderate</w:t>
            </w:r>
          </w:p>
        </w:tc>
        <w:tc>
          <w:tcPr>
            <w:tcW w:type="dxa" w:w="33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Vaccination reduces child deaths</w:t>
            </w:r>
          </w:p>
        </w:tc>
      </w:tr>
      <w:tr>
        <w:tc>
          <w:tcPr>
            <w:tcW w:type="dxa" w:w="2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GDP/Capita ↔ Access Index</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+0.810</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&lt; 0.001</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Very Strong</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Wealth enables healthcare access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8"/>
              <w:left w:val="single" w:color="4A90D9" w:sz="20"/>
              <w:bottom w:val="single" w:color="4A90D9" w:sz="8"/>
              <w:right w:val="none" w:color="FFFFFF" w:sz="0"/>
            </w:tcBorders>
            <w:shd w:fill="FFF3CD" w:val="clear"/>
            <w:tcMar>
              <w:top w:type="dxa" w:w="140"/>
              <w:left w:type="dxa" w:w="240"/>
              <w:bottom w:type="dxa" w:w="140"/>
              <w:right w:type="dxa" w:w="240"/>
            </w:tcMar>
          </w:tcPr>
          <w:p>
            <w:pPr>
              <w:spacing w:before="0" w:after="0"/>
            </w:pPr>
            <w:r>
              <w:rPr>
                <w:rFonts w:ascii="Calibri" w:cs="Calibri" w:eastAsia="Calibri" w:hAnsi="Calibri"/>
                <w:i/>
                <w:iCs/>
                <w:color w:val="5D4037"/>
                <w:sz w:val="22"/>
                <w:szCs w:val="22"/>
              </w:rPr>
              <w:t xml:space="preserve">All correlations are statistically significant at p &lt; 0.001. The Access Index is the single most powerful predictor of child health outcomes in this analysis — stronger than spending alone.</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4.2  Countries in the Critical Zone (Access Index &lt; 50)</w:t>
      </w:r>
    </w:p>
    <w:p>
      <w:pPr>
        <w:spacing w:before="80" w:after="80"/>
      </w:pPr>
      <w:r>
        <w:rPr>
          <w:rFonts w:ascii="Calibri" w:cs="Calibri" w:eastAsia="Calibri" w:hAnsi="Calibri"/>
          <w:color w:val="222222"/>
          <w:sz w:val="22"/>
          <w:szCs w:val="22"/>
        </w:rPr>
        <w:t xml:space="preserve">Nine countries fall below the critical Access Index threshold of 50, indicating systemic, crisis-level gaps in healthcare delivery. These nations represent the highest-priority targets for international intervention.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00"/>
        <w:gridCol w:w="1500"/>
        <w:gridCol w:w="1760"/>
        <w:gridCol w:w="1000"/>
      </w:tblGrid>
      <w:tr>
        <w:trPr>
          <w:tblHeader/>
        </w:trPr>
        <w:tc>
          <w:tcPr>
            <w:tcW w:type="dxa" w:w="1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Country</w:t>
            </w:r>
          </w:p>
        </w:tc>
        <w:tc>
          <w:tcPr>
            <w:tcW w:type="dxa" w:w="2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Region</w:t>
            </w:r>
          </w:p>
        </w:tc>
        <w:tc>
          <w:tcPr>
            <w:tcW w:type="dxa" w:w="13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Access Index</w:t>
            </w:r>
          </w:p>
        </w:tc>
        <w:tc>
          <w:tcPr>
            <w:tcW w:type="dxa" w:w="15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Life Expectancy</w:t>
            </w:r>
          </w:p>
        </w:tc>
        <w:tc>
          <w:tcPr>
            <w:tcW w:type="dxa" w:w="1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Child Mortality/1k</w:t>
            </w:r>
          </w:p>
        </w:tc>
        <w:tc>
          <w:tcPr>
            <w:tcW w:type="dxa" w:w="1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Priority</w:t>
            </w:r>
          </w:p>
        </w:tc>
      </w:tr>
      <w:tr>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Mozambique</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20.1</w:t>
            </w:r>
          </w:p>
        </w:tc>
        <w:tc>
          <w:tcPr>
            <w:tcW w:type="dxa" w:w="15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57.6 yrs</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~110</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Critical</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Kenya</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20.9</w:t>
            </w:r>
          </w:p>
        </w:tc>
        <w:tc>
          <w:tcPr>
            <w:tcW w:type="dxa" w:w="1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61.4 yrs</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~95</w:t>
            </w:r>
          </w:p>
        </w:tc>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Critical</w:t>
            </w:r>
          </w:p>
        </w:tc>
      </w:tr>
      <w:tr>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Tanzania</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21.6</w:t>
            </w:r>
          </w:p>
        </w:tc>
        <w:tc>
          <w:tcPr>
            <w:tcW w:type="dxa" w:w="15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57.2 yrs</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~108</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Critical</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DRC</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27.3</w:t>
            </w:r>
          </w:p>
        </w:tc>
        <w:tc>
          <w:tcPr>
            <w:tcW w:type="dxa" w:w="1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56.8 yrs</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~115</w:t>
            </w:r>
          </w:p>
        </w:tc>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Critical</w:t>
            </w:r>
          </w:p>
        </w:tc>
      </w:tr>
      <w:tr>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Nigeria</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38.3</w:t>
            </w:r>
          </w:p>
        </w:tc>
        <w:tc>
          <w:tcPr>
            <w:tcW w:type="dxa" w:w="15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67.4 yrs</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~90</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High</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Uganda</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40.7</w:t>
            </w:r>
          </w:p>
        </w:tc>
        <w:tc>
          <w:tcPr>
            <w:tcW w:type="dxa" w:w="1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58.5 yrs</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~100</w:t>
            </w:r>
          </w:p>
        </w:tc>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High</w:t>
            </w:r>
          </w:p>
        </w:tc>
      </w:tr>
      <w:tr>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Ethiopia</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40.8</w:t>
            </w:r>
          </w:p>
        </w:tc>
        <w:tc>
          <w:tcPr>
            <w:tcW w:type="dxa" w:w="15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67.6 yrs</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~88</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High</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Ghana</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43.5</w:t>
            </w:r>
          </w:p>
        </w:tc>
        <w:tc>
          <w:tcPr>
            <w:tcW w:type="dxa" w:w="1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65.1 yrs</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~82</w:t>
            </w:r>
          </w:p>
        </w:tc>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High</w:t>
            </w:r>
          </w:p>
        </w:tc>
      </w:tr>
      <w:tr>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Afghanistan</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South Asia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48.0</w:t>
            </w:r>
          </w:p>
        </w:tc>
        <w:tc>
          <w:tcPr>
            <w:tcW w:type="dxa" w:w="15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67.4 yrs</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~60</w:t>
            </w:r>
          </w:p>
        </w:tc>
        <w:tc>
          <w:tcPr>
            <w:tcW w:type="dxa" w:w="1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Medium</w:t>
            </w:r>
          </w:p>
        </w:tc>
      </w:tr>
    </w:tbl>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5.  Business Requirements (BRD)</w:t>
      </w:r>
    </w:p>
    <w:p>
      <w:pPr>
        <w:pStyle w:val="Heading2"/>
        <w:spacing w:before="300" w:after="120"/>
      </w:pPr>
      <w:r>
        <w:rPr>
          <w:rFonts w:ascii="Calibri" w:cs="Calibri" w:eastAsia="Calibri" w:hAnsi="Calibri"/>
          <w:b/>
          <w:bCs/>
          <w:color w:val="1B4F8A"/>
          <w:sz w:val="28"/>
          <w:szCs w:val="28"/>
        </w:rPr>
        <w:t xml:space="preserve">5.1  Project Scope</w:t>
      </w:r>
    </w:p>
    <w:p>
      <w:pPr>
        <w:spacing w:before="80" w:after="80"/>
      </w:pPr>
      <w:r>
        <w:rPr>
          <w:rFonts w:ascii="Calibri" w:cs="Calibri" w:eastAsia="Calibri" w:hAnsi="Calibri"/>
          <w:color w:val="222222"/>
          <w:sz w:val="22"/>
          <w:szCs w:val="22"/>
        </w:rPr>
        <w:t xml:space="preserve">This project analyses healthcare spending, outcomes, and systemic gaps across 37+ countries to deliver evidence-based recommendations for policymakers, NGOs, and healthcare investors.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Scope Item</w:t>
            </w:r>
          </w:p>
        </w:tc>
        <w:tc>
          <w:tcPr>
            <w:tcW w:type="dxa" w:w="288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Status</w:t>
            </w:r>
          </w:p>
        </w:tc>
      </w:tr>
      <w:tr>
        <w:tc>
          <w:tcPr>
            <w:tcW w:type="dxa" w:w="64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Analysis of healthcare spending vs. outcomes in 37+ countries</w:t>
            </w:r>
          </w:p>
        </w:tc>
        <w:tc>
          <w:tcPr>
            <w:tcW w:type="dxa" w:w="28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In Scope</w:t>
            </w:r>
          </w:p>
        </w:tc>
      </w:tr>
      <w:tr>
        <w:tc>
          <w:tcPr>
            <w:tcW w:type="dxa" w:w="64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Regional disparity mapping across 6 major world regions</w:t>
            </w:r>
          </w:p>
        </w:tc>
        <w:tc>
          <w:tcPr>
            <w:tcW w:type="dxa" w:w="28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In Scope</w:t>
            </w:r>
          </w:p>
        </w:tc>
      </w:tr>
      <w:tr>
        <w:tc>
          <w:tcPr>
            <w:tcW w:type="dxa" w:w="64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Identification of top preventable causes of death</w:t>
            </w:r>
          </w:p>
        </w:tc>
        <w:tc>
          <w:tcPr>
            <w:tcW w:type="dxa" w:w="28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In Scope</w:t>
            </w:r>
          </w:p>
        </w:tc>
      </w:tr>
      <w:tr>
        <w:tc>
          <w:tcPr>
            <w:tcW w:type="dxa" w:w="64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Statistical correlation analysis of key health metrics</w:t>
            </w:r>
          </w:p>
        </w:tc>
        <w:tc>
          <w:tcPr>
            <w:tcW w:type="dxa" w:w="28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In Scope</w:t>
            </w:r>
          </w:p>
        </w:tc>
      </w:tr>
      <w:tr>
        <w:tc>
          <w:tcPr>
            <w:tcW w:type="dxa" w:w="64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Strategic recommendations for resource allocation</w:t>
            </w:r>
          </w:p>
        </w:tc>
        <w:tc>
          <w:tcPr>
            <w:tcW w:type="dxa" w:w="28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In Scope</w:t>
            </w:r>
          </w:p>
        </w:tc>
      </w:tr>
      <w:tr>
        <w:tc>
          <w:tcPr>
            <w:tcW w:type="dxa" w:w="64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Country-level policy implementation</w:t>
            </w:r>
          </w:p>
        </w:tc>
        <w:tc>
          <w:tcPr>
            <w:tcW w:type="dxa" w:w="28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Out of Scope</w:t>
            </w:r>
          </w:p>
        </w:tc>
      </w:tr>
      <w:tr>
        <w:tc>
          <w:tcPr>
            <w:tcW w:type="dxa" w:w="64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Clinical or medical research</w:t>
            </w:r>
          </w:p>
        </w:tc>
        <w:tc>
          <w:tcPr>
            <w:tcW w:type="dxa" w:w="288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Out of Scope</w:t>
            </w:r>
          </w:p>
        </w:tc>
      </w:tr>
      <w:tr>
        <w:tc>
          <w:tcPr>
            <w:tcW w:type="dxa" w:w="64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Mental health analysis</w:t>
            </w:r>
          </w:p>
        </w:tc>
        <w:tc>
          <w:tcPr>
            <w:tcW w:type="dxa" w:w="288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Out of Scope</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5.2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900"/>
        <w:gridCol w:w="3560"/>
      </w:tblGrid>
      <w:tr>
        <w:trPr>
          <w:tblHeader/>
        </w:trPr>
        <w:tc>
          <w:tcPr>
            <w:tcW w:type="dxa" w:w="7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ID</w:t>
            </w:r>
          </w:p>
        </w:tc>
        <w:tc>
          <w:tcPr>
            <w:tcW w:type="dxa" w:w="4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Priority</w:t>
            </w:r>
          </w:p>
        </w:tc>
        <w:tc>
          <w:tcPr>
            <w:tcW w:type="dxa" w:w="35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Acceptance Criteria</w:t>
            </w:r>
          </w:p>
        </w:tc>
      </w:tr>
      <w:tr>
        <w:tc>
          <w:tcPr>
            <w:tcW w:type="dxa" w:w="7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BR-01</w:t>
            </w:r>
          </w:p>
        </w:tc>
        <w:tc>
          <w:tcPr>
            <w:tcW w:type="dxa" w:w="4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Compile reliable multi-source dataset covering 30+ countries and 6 regions</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5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Dataset includes spending, life expectancy, access, disease burden, vaccination</w:t>
            </w:r>
          </w:p>
        </w:tc>
      </w:tr>
      <w:tr>
        <w:tc>
          <w:tcPr>
            <w:tcW w:type="dxa" w:w="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BR-02</w:t>
            </w:r>
          </w:p>
        </w:tc>
        <w:tc>
          <w:tcPr>
            <w:tcW w:type="dxa" w:w="4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Quantify healthcare outcome gap between high- and low-income regions</w:t>
            </w:r>
          </w:p>
        </w:tc>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5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Statistically significant difference demonstrated between top and bottom quartiles</w:t>
            </w:r>
          </w:p>
        </w:tc>
      </w:tr>
      <w:tr>
        <w:tc>
          <w:tcPr>
            <w:tcW w:type="dxa" w:w="7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BR-03</w:t>
            </w:r>
          </w:p>
        </w:tc>
        <w:tc>
          <w:tcPr>
            <w:tcW w:type="dxa" w:w="4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Identify top 5 preventable causes of death with supporting data</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5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Correlation analysis performed; root causes documented</w:t>
            </w:r>
          </w:p>
        </w:tc>
      </w:tr>
      <w:tr>
        <w:tc>
          <w:tcPr>
            <w:tcW w:type="dxa" w:w="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BR-04</w:t>
            </w:r>
          </w:p>
        </w:tc>
        <w:tc>
          <w:tcPr>
            <w:tcW w:type="dxa" w:w="4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Rank countries by criticality for targeted intervention</w:t>
            </w:r>
          </w:p>
        </w:tc>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Medium</w:t>
            </w:r>
          </w:p>
        </w:tc>
        <w:tc>
          <w:tcPr>
            <w:tcW w:type="dxa" w:w="35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Priority tiers (Critical/High/Medium) assigned with data justification</w:t>
            </w:r>
          </w:p>
        </w:tc>
      </w:tr>
      <w:tr>
        <w:tc>
          <w:tcPr>
            <w:tcW w:type="dxa" w:w="7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BR-05</w:t>
            </w:r>
          </w:p>
        </w:tc>
        <w:tc>
          <w:tcPr>
            <w:tcW w:type="dxa" w:w="4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Communicate all findings through professional, publication-quality visualisations</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Medium</w:t>
            </w:r>
          </w:p>
        </w:tc>
        <w:tc>
          <w:tcPr>
            <w:tcW w:type="dxa" w:w="35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Minimum 4 charts included; all exported at 150+ DPI</w:t>
            </w:r>
          </w:p>
        </w:tc>
      </w:tr>
      <w:tr>
        <w:tc>
          <w:tcPr>
            <w:tcW w:type="dxa" w:w="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BR-06</w:t>
            </w:r>
          </w:p>
        </w:tc>
        <w:tc>
          <w:tcPr>
            <w:tcW w:type="dxa" w:w="4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Deliver actionable recommendations with timeline and impact estimates</w:t>
            </w:r>
          </w:p>
        </w:tc>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5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Short/medium/long-term recommendations with measurable KPIs</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5.3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KPI</w:t>
            </w:r>
          </w:p>
        </w:tc>
        <w:tc>
          <w:tcPr>
            <w:tcW w:type="dxa" w:w="21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Target</w:t>
            </w:r>
          </w:p>
        </w:tc>
        <w:tc>
          <w:tcPr>
            <w:tcW w:type="dxa" w:w="3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Achieved</w:t>
            </w:r>
          </w:p>
        </w:tc>
      </w:tr>
      <w:tr>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Number of countries analysed</w:t>
            </w:r>
          </w:p>
        </w:tc>
        <w:tc>
          <w:tcPr>
            <w:tcW w:type="dxa" w:w="2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30</w:t>
            </w:r>
          </w:p>
        </w:tc>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37</w:t>
            </w:r>
          </w:p>
        </w:tc>
      </w:tr>
      <w:tr>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World regions covered</w:t>
            </w:r>
          </w:p>
        </w:tc>
        <w:tc>
          <w:tcPr>
            <w:tcW w:type="dxa" w:w="2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All 6</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6/6</w:t>
            </w:r>
          </w:p>
        </w:tc>
      </w:tr>
      <w:tr>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Statistical significance of correlations</w:t>
            </w:r>
          </w:p>
        </w:tc>
        <w:tc>
          <w:tcPr>
            <w:tcW w:type="dxa" w:w="2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 &lt; 0.05</w:t>
            </w:r>
          </w:p>
        </w:tc>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All p &lt; 0.001</w:t>
            </w:r>
          </w:p>
        </w:tc>
      </w:tr>
      <w:tr>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Visualisations produced</w:t>
            </w:r>
          </w:p>
        </w:tc>
        <w:tc>
          <w:tcPr>
            <w:tcW w:type="dxa" w:w="2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4</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4</w:t>
            </w:r>
          </w:p>
        </w:tc>
      </w:tr>
      <w:tr>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Recommendations delivered</w:t>
            </w:r>
          </w:p>
        </w:tc>
        <w:tc>
          <w:tcPr>
            <w:tcW w:type="dxa" w:w="2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6</w:t>
            </w:r>
          </w:p>
        </w:tc>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9</w:t>
            </w:r>
          </w:p>
        </w:tc>
      </w:tr>
      <w:tr>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Countries in critical zone identified</w:t>
            </w:r>
          </w:p>
        </w:tc>
        <w:tc>
          <w:tcPr>
            <w:tcW w:type="dxa" w:w="2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All &lt; 50</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9 identified</w:t>
            </w:r>
          </w:p>
        </w:tc>
      </w:tr>
    </w:tbl>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6.  Stakeholder Analysis</w:t>
      </w:r>
    </w:p>
    <w:p>
      <w:pPr>
        <w:pStyle w:val="Heading2"/>
        <w:spacing w:before="300" w:after="120"/>
      </w:pPr>
      <w:r>
        <w:rPr>
          <w:rFonts w:ascii="Calibri" w:cs="Calibri" w:eastAsia="Calibri" w:hAnsi="Calibri"/>
          <w:b/>
          <w:bCs/>
          <w:color w:val="1B4F8A"/>
          <w:sz w:val="28"/>
          <w:szCs w:val="28"/>
        </w:rPr>
        <w:t xml:space="preserve">6.1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900"/>
        <w:gridCol w:w="1100"/>
        <w:gridCol w:w="3360"/>
      </w:tblGrid>
      <w:tr>
        <w:trPr>
          <w:tblHeader/>
        </w:trPr>
        <w:tc>
          <w:tcPr>
            <w:tcW w:type="dxa" w:w="28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Stakeholder</w:t>
            </w:r>
          </w:p>
        </w:tc>
        <w:tc>
          <w:tcPr>
            <w:tcW w:type="dxa" w:w="1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Type</w:t>
            </w:r>
          </w:p>
        </w:tc>
        <w:tc>
          <w:tcPr>
            <w:tcW w:type="dxa" w:w="9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Power</w:t>
            </w:r>
          </w:p>
        </w:tc>
        <w:tc>
          <w:tcPr>
            <w:tcW w:type="dxa" w:w="11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Interest</w:t>
            </w:r>
          </w:p>
        </w:tc>
        <w:tc>
          <w:tcPr>
            <w:tcW w:type="dxa" w:w="33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Strategy</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World Health Organization (WHO)</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External</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Manage closely — key endorser</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World Bank</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External</w:t>
            </w:r>
          </w:p>
        </w:tc>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Manage closely — funding &amp; data</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National Health Ministries</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External</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Manage closely — policy adopters</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NGOs (MSF, UNICEF, Red Cross)</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External</w:t>
            </w:r>
          </w:p>
        </w:tc>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Med</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Keep informed — implementers</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Healthcare Investors / Philanthropists</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External</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Med</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Keep satisfied — funders</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Academic Researchers</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External</w:t>
            </w:r>
          </w:p>
        </w:tc>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Low</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Keep informed — validators</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Project Sponsor</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Internal</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Med</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Keep satisfied — approver</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Harsh Patel (Business Analyst)</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Internal</w:t>
            </w:r>
          </w:p>
        </w:tc>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Med</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Responsible — lead analyst</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Data Engineer</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Internal</w:t>
            </w:r>
          </w:p>
        </w:tc>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Low</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Keep informed — data pipeline</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6.2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160"/>
      </w:tblGrid>
      <w:tr>
        <w:trPr>
          <w:tblHeader/>
        </w:trPr>
        <w:tc>
          <w:tcPr>
            <w:tcW w:type="dxa" w:w="3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Activity</w:t>
            </w:r>
          </w:p>
        </w:tc>
        <w:tc>
          <w:tcPr>
            <w:tcW w:type="dxa" w:w="13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BA (Harsh)</w:t>
            </w:r>
          </w:p>
        </w:tc>
        <w:tc>
          <w:tcPr>
            <w:tcW w:type="dxa" w:w="13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Data Eng.</w:t>
            </w:r>
          </w:p>
        </w:tc>
        <w:tc>
          <w:tcPr>
            <w:tcW w:type="dxa" w:w="13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Sponsor</w:t>
            </w:r>
          </w:p>
        </w:tc>
        <w:tc>
          <w:tcPr>
            <w:tcW w:type="dxa" w:w="13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WHO/WB</w:t>
            </w:r>
          </w:p>
        </w:tc>
        <w:tc>
          <w:tcPr>
            <w:tcW w:type="dxa" w:w="11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NGOs</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Define project scope</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Data collection</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w:t>
            </w:r>
          </w:p>
        </w:tc>
        <w:tc>
          <w:tcPr>
            <w:tcW w:type="dxa" w:w="1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Data cleaning &amp; EDA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c>
          <w:tcPr>
            <w:tcW w:type="dxa" w:w="1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Statistical analysis</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Visualisation creation</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c>
          <w:tcPr>
            <w:tcW w:type="dxa" w:w="1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Recommendations</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w:t>
            </w:r>
          </w:p>
        </w:tc>
        <w:tc>
          <w:tcPr>
            <w:tcW w:type="dxa" w:w="1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Executive report</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w:t>
            </w:r>
          </w:p>
        </w:tc>
        <w:tc>
          <w:tcPr>
            <w:tcW w:type="dxa" w:w="13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Stakeholder presentation</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w:t>
            </w:r>
          </w:p>
        </w:tc>
        <w:tc>
          <w:tcPr>
            <w:tcW w:type="dxa" w:w="1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c>
          <w:tcPr>
            <w:tcW w:type="dxa" w:w="1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w:t>
            </w:r>
          </w:p>
        </w:tc>
      </w:tr>
    </w:tbl>
    <w:p>
      <w:pPr>
        <w:spacing w:before="120" w:after="0"/>
      </w:pPr>
      <w:r>
        <w:t xml:space="preserve"/>
      </w:r>
    </w:p>
    <w:p>
      <w:pPr>
        <w:spacing w:before="80" w:after="80"/>
      </w:pPr>
      <w:r>
        <w:rPr>
          <w:rFonts w:ascii="Calibri" w:cs="Calibri" w:eastAsia="Calibri" w:hAnsi="Calibri"/>
          <w:i/>
          <w:iCs/>
          <w:color w:val="777777"/>
          <w:sz w:val="22"/>
          <w:szCs w:val="22"/>
        </w:rPr>
        <w:t xml:space="preserve">R = Responsible  |  A = Accountable  |  C = Consulted  |  I = Informed</w:t>
      </w:r>
    </w:p>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7.  Gap Analysis</w:t>
      </w:r>
    </w:p>
    <w:p>
      <w:pPr>
        <w:pStyle w:val="Heading2"/>
        <w:spacing w:before="300" w:after="120"/>
      </w:pPr>
      <w:r>
        <w:rPr>
          <w:rFonts w:ascii="Calibri" w:cs="Calibri" w:eastAsia="Calibri" w:hAnsi="Calibri"/>
          <w:b/>
          <w:bCs/>
          <w:color w:val="1B4F8A"/>
          <w:sz w:val="28"/>
          <w:szCs w:val="28"/>
        </w:rPr>
        <w:t xml:space="preserve">7.1  Healthcare Access Index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1200"/>
        <w:gridCol w:w="2240"/>
      </w:tblGrid>
      <w:tr>
        <w:trPr>
          <w:tblHeader/>
        </w:trPr>
        <w:tc>
          <w:tcPr>
            <w:tcW w:type="dxa" w:w="24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Region</w:t>
            </w:r>
          </w:p>
        </w:tc>
        <w:tc>
          <w:tcPr>
            <w:tcW w:type="dxa" w:w="1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Current (AS-IS)</w:t>
            </w:r>
          </w:p>
        </w:tc>
        <w:tc>
          <w:tcPr>
            <w:tcW w:type="dxa" w:w="1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WHO Target (TO-BE)</w:t>
            </w:r>
          </w:p>
        </w:tc>
        <w:tc>
          <w:tcPr>
            <w:tcW w:type="dxa" w:w="1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Gap</w:t>
            </w:r>
          </w:p>
        </w:tc>
        <w:tc>
          <w:tcPr>
            <w:tcW w:type="dxa" w:w="224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North America</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86.9 / 100</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90+</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−3.1</w:t>
            </w:r>
          </w:p>
        </w:tc>
        <w:tc>
          <w:tcPr>
            <w:tcW w:type="dxa" w:w="224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Near Target</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Europe</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88.1 / 100</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90+</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−1.9</w:t>
            </w:r>
          </w:p>
        </w:tc>
        <w:tc>
          <w:tcPr>
            <w:tcW w:type="dxa" w:w="224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Near Target</w:t>
            </w:r>
          </w:p>
        </w:tc>
      </w:tr>
      <w:tr>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Asia-Pacific</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73.4 / 100</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−6.6</w:t>
            </w:r>
          </w:p>
        </w:tc>
        <w:tc>
          <w:tcPr>
            <w:tcW w:type="dxa" w:w="224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Action Needed</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Latin America</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68.5 / 100</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−11.5</w:t>
            </w:r>
          </w:p>
        </w:tc>
        <w:tc>
          <w:tcPr>
            <w:tcW w:type="dxa" w:w="224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Significant Gap</w:t>
            </w:r>
          </w:p>
        </w:tc>
      </w:tr>
      <w:tr>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South Asia</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56.6 / 100</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−23.4</w:t>
            </w:r>
          </w:p>
        </w:tc>
        <w:tc>
          <w:tcPr>
            <w:tcW w:type="dxa" w:w="224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Critical</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31.6 / 100</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−48.4</w:t>
            </w:r>
          </w:p>
        </w:tc>
        <w:tc>
          <w:tcPr>
            <w:tcW w:type="dxa" w:w="224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 Crisis Level</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7.2  Life Expectancy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Region</w:t>
            </w:r>
          </w:p>
        </w:tc>
        <w:tc>
          <w:tcPr>
            <w:tcW w:type="dxa" w:w="1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Current (AS-IS)</w:t>
            </w:r>
          </w:p>
        </w:tc>
        <w:tc>
          <w:tcPr>
            <w:tcW w:type="dxa" w:w="1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Target (TO-BE)</w:t>
            </w:r>
          </w:p>
        </w:tc>
        <w:tc>
          <w:tcPr>
            <w:tcW w:type="dxa" w:w="1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Gap</w:t>
            </w:r>
          </w:p>
        </w:tc>
        <w:tc>
          <w:tcPr>
            <w:tcW w:type="dxa" w:w="21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Years Lost</w:t>
            </w:r>
          </w:p>
        </w:tc>
      </w:tr>
      <w:tr>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North America</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80.3 yrs</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82+ yrs</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−1.7 yrs</w:t>
            </w:r>
          </w:p>
        </w:tc>
        <w:tc>
          <w:tcPr>
            <w:tcW w:type="dxa" w:w="2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~600k life-years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Europe</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79.8 yrs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82+ yrs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−2.2 yrs</w:t>
            </w:r>
          </w:p>
        </w:tc>
        <w:tc>
          <w:tcPr>
            <w:tcW w:type="dxa" w:w="2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~1.5M life-years</w:t>
            </w:r>
          </w:p>
        </w:tc>
      </w:tr>
      <w:tr>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Asia-Pacific</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76.8 yrs</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 yrs</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−3.2 yrs</w:t>
            </w:r>
          </w:p>
        </w:tc>
        <w:tc>
          <w:tcPr>
            <w:tcW w:type="dxa" w:w="2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~12M life-years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Latin America</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72.6 yrs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78+ yrs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−5.4 yrs</w:t>
            </w:r>
          </w:p>
        </w:tc>
        <w:tc>
          <w:tcPr>
            <w:tcW w:type="dxa" w:w="2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~35M life-years</w:t>
            </w:r>
          </w:p>
        </w:tc>
      </w:tr>
      <w:tr>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South Asia</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71.0 yrs</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78+ yrs</w:t>
            </w:r>
          </w:p>
        </w:tc>
        <w:tc>
          <w:tcPr>
            <w:tcW w:type="dxa" w:w="1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−7.0 yrs</w:t>
            </w:r>
          </w:p>
        </w:tc>
        <w:tc>
          <w:tcPr>
            <w:tcW w:type="dxa" w:w="2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~110M life-years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61.4 yrs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75+ yrs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−13.6 yrs</w:t>
            </w:r>
          </w:p>
        </w:tc>
        <w:tc>
          <w:tcPr>
            <w:tcW w:type="dxa" w:w="2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~560M life-years</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7.3  Root Cause Analysis — Sub-Saharan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8"/>
              <w:left w:val="single" w:color="4A90D9" w:sz="20"/>
              <w:bottom w:val="single" w:color="4A90D9" w:sz="8"/>
              <w:right w:val="none" w:color="FFFFFF" w:sz="0"/>
            </w:tcBorders>
            <w:shd w:fill="FFF8E1" w:val="clear"/>
            <w:tcMar>
              <w:top w:type="dxa" w:w="140"/>
              <w:left w:type="dxa" w:w="240"/>
              <w:bottom w:type="dxa" w:w="140"/>
              <w:right w:type="dxa" w:w="240"/>
            </w:tcMar>
          </w:tcPr>
          <w:p>
            <w:pPr>
              <w:spacing w:before="0" w:after="0"/>
            </w:pPr>
            <w:r>
              <w:rPr>
                <w:rFonts w:ascii="Calibri" w:cs="Calibri" w:eastAsia="Calibri" w:hAnsi="Calibri"/>
                <w:i/>
                <w:iCs/>
                <w:color w:val="5D4037"/>
                <w:sz w:val="22"/>
                <w:szCs w:val="22"/>
              </w:rPr>
              <w:t xml:space="preserve">Why do people die from preventable diseases? → Lack access to treatment → Facilities too far or unaffordable → Infrastructure investment inadequate → Government health budgets underfunded → GDP low AND donor aid fragmented → ROOT CAUSE: Poverty cycle compounded by inconsistent international aid.</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7.4  Gap Closure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800"/>
        <w:gridCol w:w="2000"/>
        <w:gridCol w:w="2460"/>
      </w:tblGrid>
      <w:tr>
        <w:trPr>
          <w:tblHeader/>
        </w:trPr>
        <w:tc>
          <w:tcPr>
            <w:tcW w:type="dxa" w:w="9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Phase</w:t>
            </w:r>
          </w:p>
        </w:tc>
        <w:tc>
          <w:tcPr>
            <w:tcW w:type="dxa" w:w="1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Timeline</w:t>
            </w:r>
          </w:p>
        </w:tc>
        <w:tc>
          <w:tcPr>
            <w:tcW w:type="dxa" w:w="28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Action</w:t>
            </w:r>
          </w:p>
        </w:tc>
        <w:tc>
          <w:tcPr>
            <w:tcW w:type="dxa" w:w="2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Target Region</w:t>
            </w:r>
          </w:p>
        </w:tc>
        <w:tc>
          <w:tcPr>
            <w:tcW w:type="dxa" w:w="24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Expected Impact</w:t>
            </w:r>
          </w:p>
        </w:tc>
      </w:tr>
      <w:tr>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1</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0–12 months</w:t>
            </w:r>
          </w:p>
        </w:tc>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Emergency vaccination campaigns</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24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−15% child mortality</w:t>
            </w:r>
          </w:p>
        </w:tc>
      </w:tr>
      <w:tr>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1</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0–12 months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Mobile clinic deployment</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Rural South Asia</w:t>
            </w:r>
          </w:p>
        </w:tc>
        <w:tc>
          <w:tcPr>
            <w:tcW w:type="dxa" w:w="24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+12% access index</w:t>
            </w:r>
          </w:p>
        </w:tc>
      </w:tr>
      <w:tr>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1</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0–12 months</w:t>
            </w:r>
          </w:p>
        </w:tc>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Community health worker training</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All critical regions</w:t>
            </w:r>
          </w:p>
        </w:tc>
        <w:tc>
          <w:tcPr>
            <w:tcW w:type="dxa" w:w="24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 pts access</w:t>
            </w:r>
          </w:p>
        </w:tc>
      </w:tr>
      <w:tr>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2</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1–3 years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10,000 medical school scholarships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Africa, South Asia</w:t>
            </w:r>
          </w:p>
        </w:tc>
        <w:tc>
          <w:tcPr>
            <w:tcW w:type="dxa" w:w="24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+0.3 physicians/1k</w:t>
            </w:r>
          </w:p>
        </w:tc>
      </w:tr>
      <w:tr>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2</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1–3 years</w:t>
            </w:r>
          </w:p>
        </w:tc>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Hospital infrastructure grants (500 sites)</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24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+14 pts access</w:t>
            </w:r>
          </w:p>
        </w:tc>
      </w:tr>
      <w:tr>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2</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1–3 years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EHR system standardisation</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Global LMIC</w:t>
            </w:r>
          </w:p>
        </w:tc>
        <w:tc>
          <w:tcPr>
            <w:tcW w:type="dxa" w:w="24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+20% diagnostic accuracy</w:t>
            </w:r>
          </w:p>
        </w:tc>
      </w:tr>
      <w:tr>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3</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3–10 years</w:t>
            </w:r>
          </w:p>
        </w:tc>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Universal Health Coverage (UHC) legislation</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All LMIC</w:t>
            </w:r>
          </w:p>
        </w:tc>
        <w:tc>
          <w:tcPr>
            <w:tcW w:type="dxa" w:w="24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+25 pts access index</w:t>
            </w:r>
          </w:p>
        </w:tc>
      </w:tr>
      <w:tr>
        <w:tc>
          <w:tcPr>
            <w:tcW w:type="dxa" w:w="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3</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3–10 years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AI disease surveillance network</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50+ LMIC nations</w:t>
            </w:r>
          </w:p>
        </w:tc>
        <w:tc>
          <w:tcPr>
            <w:tcW w:type="dxa" w:w="24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−30% outbreak mortality</w:t>
            </w:r>
          </w:p>
        </w:tc>
      </w:tr>
      <w:tr>
        <w:tc>
          <w:tcPr>
            <w:tcW w:type="dxa" w:w="9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Phase 3</w:t>
            </w:r>
          </w:p>
        </w:tc>
        <w:tc>
          <w:tcPr>
            <w:tcW w:type="dxa" w:w="1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3–10 years</w:t>
            </w:r>
          </w:p>
        </w:tc>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Essential medicine price regulation</w:t>
            </w:r>
          </w:p>
        </w:tc>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Global</w:t>
            </w:r>
          </w:p>
        </w:tc>
        <w:tc>
          <w:tcPr>
            <w:tcW w:type="dxa" w:w="24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−40% medicine cost</w:t>
            </w:r>
          </w:p>
        </w:tc>
      </w:tr>
    </w:tbl>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8.  Process Flow — AS-IS vs. TO-BE</w:t>
      </w:r>
    </w:p>
    <w:p>
      <w:pPr>
        <w:pStyle w:val="Heading2"/>
        <w:spacing w:before="300" w:after="120"/>
      </w:pPr>
      <w:r>
        <w:rPr>
          <w:rFonts w:ascii="Calibri" w:cs="Calibri" w:eastAsia="Calibri" w:hAnsi="Calibri"/>
          <w:b/>
          <w:bCs/>
          <w:color w:val="1B4F8A"/>
          <w:sz w:val="28"/>
          <w:szCs w:val="28"/>
        </w:rPr>
        <w:t xml:space="preserve">8.1  Current State (AS-IS)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Pain Point</w:t>
            </w:r>
          </w:p>
        </w:tc>
        <w:tc>
          <w:tcPr>
            <w:tcW w:type="dxa" w:w="2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Regions Affected</w:t>
            </w:r>
          </w:p>
        </w:tc>
        <w:tc>
          <w:tcPr>
            <w:tcW w:type="dxa" w:w="3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Scale of Impact</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Average travel time to nearest clinic &gt; 2 hours</w:t>
            </w:r>
          </w:p>
        </w:tc>
        <w:tc>
          <w:tcPr>
            <w:tcW w:type="dxa" w:w="2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 Rural South Asia</w:t>
            </w:r>
          </w:p>
        </w:tc>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40% delay in seeking care</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Essential medicines out of stock</w:t>
            </w:r>
          </w:p>
        </w:tc>
        <w:tc>
          <w:tcPr>
            <w:tcW w:type="dxa" w:w="2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Sub-Saharan Africa</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35% of facilities affected</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User fees preventing access</w:t>
            </w:r>
          </w:p>
        </w:tc>
        <w:tc>
          <w:tcPr>
            <w:tcW w:type="dxa" w:w="2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All LMIC</w:t>
            </w:r>
          </w:p>
        </w:tc>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~800M people avoid care due to cost</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Critical shortage of trained health staff</w:t>
            </w:r>
          </w:p>
        </w:tc>
        <w:tc>
          <w:tcPr>
            <w:tcW w:type="dxa" w:w="2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Africa, South Asia</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57 countries below WHO minimum</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Paper-based health records</w:t>
            </w:r>
          </w:p>
        </w:tc>
        <w:tc>
          <w:tcPr>
            <w:tcW w:type="dxa" w:w="2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Global (low-income)</w:t>
            </w:r>
          </w:p>
        </w:tc>
        <w:tc>
          <w:tcPr>
            <w:tcW w:type="dxa" w:w="3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~60% duplication and misdiagnosis rate</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No disease early-warning system</w:t>
            </w:r>
          </w:p>
        </w:tc>
        <w:tc>
          <w:tcPr>
            <w:tcW w:type="dxa" w:w="2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Most LMIC</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Late response to outbreaks</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8.2  Future State (TO-BE) Process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760"/>
        <w:gridCol w:w="3840"/>
      </w:tblGrid>
      <w:tr>
        <w:trPr>
          <w:tblHeader/>
        </w:trPr>
        <w:tc>
          <w:tcPr>
            <w:tcW w:type="dxa" w:w="2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Dimension</w:t>
            </w:r>
          </w:p>
        </w:tc>
        <w:tc>
          <w:tcPr>
            <w:tcW w:type="dxa" w:w="1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AS-IS Baseline</w:t>
            </w:r>
          </w:p>
        </w:tc>
        <w:tc>
          <w:tcPr>
            <w:tcW w:type="dxa" w:w="1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TO-BE Target</w:t>
            </w:r>
          </w:p>
        </w:tc>
        <w:tc>
          <w:tcPr>
            <w:tcW w:type="dxa" w:w="384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Enabler</w:t>
            </w:r>
          </w:p>
        </w:tc>
      </w:tr>
      <w:tr>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Time to first care</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2–5 hours</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&lt; 30 minutes</w:t>
            </w:r>
          </w:p>
        </w:tc>
        <w:tc>
          <w:tcPr>
            <w:tcW w:type="dxa" w:w="384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Community Health Workers + mobile clinics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Medicine availability</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65% in-stock</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95% in-stock</w:t>
            </w:r>
          </w:p>
        </w:tc>
        <w:tc>
          <w:tcPr>
            <w:tcW w:type="dxa" w:w="384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AI-powered supply chain management</w:t>
            </w:r>
          </w:p>
        </w:tc>
      </w:tr>
      <w:tr>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Financial barrier</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30% denied by cost</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&lt; 5% denial</w:t>
            </w:r>
          </w:p>
        </w:tc>
        <w:tc>
          <w:tcPr>
            <w:tcW w:type="dxa" w:w="384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UHC legislation + government subsidy</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Physician availability</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0.2/1k (Africa)</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1.0/1k (minimum)</w:t>
            </w:r>
          </w:p>
        </w:tc>
        <w:tc>
          <w:tcPr>
            <w:tcW w:type="dxa" w:w="384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Training programmes + retention incentives</w:t>
            </w:r>
          </w:p>
        </w:tc>
      </w:tr>
      <w:tr>
        <w:tc>
          <w:tcPr>
            <w:tcW w:type="dxa" w:w="2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Health data quality</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Paper-based</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Digital EHR</w:t>
            </w:r>
          </w:p>
        </w:tc>
        <w:tc>
          <w:tcPr>
            <w:tcW w:type="dxa" w:w="384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National health information systems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Disease surveillance</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Reactive</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Predictive (AI)</w:t>
            </w:r>
          </w:p>
        </w:tc>
        <w:tc>
          <w:tcPr>
            <w:tcW w:type="dxa" w:w="384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Real-time monitoring + outbreak AI</w:t>
            </w:r>
          </w:p>
        </w:tc>
      </w:tr>
    </w:tbl>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9.  Strategic Recommendations</w:t>
      </w:r>
    </w:p>
    <w:p>
      <w:pPr>
        <w:pStyle w:val="Heading2"/>
        <w:spacing w:before="300" w:after="120"/>
      </w:pPr>
      <w:r>
        <w:rPr>
          <w:rFonts w:ascii="Calibri" w:cs="Calibri" w:eastAsia="Calibri" w:hAnsi="Calibri"/>
          <w:b/>
          <w:bCs/>
          <w:color w:val="1B4F8A"/>
          <w:sz w:val="28"/>
          <w:szCs w:val="28"/>
        </w:rPr>
        <w:t xml:space="preserve">9.1  Short-Term (0–12 Months)</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Redirect 15% of donor healthcare aid budgets to top-5 preventable disease programmes in Sub-Saharan Africa. Expected: −400,000 preventable deaths/year.</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Launch emergency vaccination campaigns targeting DTP3 and measles coverage in the 9 countries with Access Index below 50.</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Deploy 500 mobile clinic units across rural Sub-Saharan Africa and South Asia to close the proximity gap immediately.</w:t>
      </w:r>
    </w:p>
    <w:p>
      <w:pPr>
        <w:spacing w:before="120" w:after="0"/>
      </w:pPr>
      <w:r>
        <w:t xml:space="preserve"/>
      </w:r>
    </w:p>
    <w:p>
      <w:pPr>
        <w:pStyle w:val="Heading2"/>
        <w:spacing w:before="300" w:after="120"/>
      </w:pPr>
      <w:r>
        <w:rPr>
          <w:rFonts w:ascii="Calibri" w:cs="Calibri" w:eastAsia="Calibri" w:hAnsi="Calibri"/>
          <w:b/>
          <w:bCs/>
          <w:color w:val="1B4F8A"/>
          <w:sz w:val="28"/>
          <w:szCs w:val="28"/>
        </w:rPr>
        <w:t xml:space="preserve">9.2  Medium-Term (1–3 Years)</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Fund 10,000 medical school scholarships across LMIC nations, prioritising the 57 countries below the WHO physician minimum of 1.0/1,000.</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Standardise Electronic Health Records (EHR) across LMIC to improve diagnostic accuracy by an estimated 20% and enable national disease surveillance.</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Establish 12 Regional Healthcare Hubs across Sub-Saharan Africa via public-private partnerships, each designed to serve 2 million people.</w:t>
      </w:r>
    </w:p>
    <w:p>
      <w:pPr>
        <w:spacing w:before="120" w:after="0"/>
      </w:pPr>
      <w:r>
        <w:t xml:space="preserve"/>
      </w:r>
    </w:p>
    <w:p>
      <w:pPr>
        <w:pStyle w:val="Heading2"/>
        <w:spacing w:before="300" w:after="120"/>
      </w:pPr>
      <w:r>
        <w:rPr>
          <w:rFonts w:ascii="Calibri" w:cs="Calibri" w:eastAsia="Calibri" w:hAnsi="Calibri"/>
          <w:b/>
          <w:bCs/>
          <w:color w:val="1B4F8A"/>
          <w:sz w:val="28"/>
          <w:szCs w:val="28"/>
        </w:rPr>
        <w:t xml:space="preserve">9.3  Long-Term (3–10 Years)</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Support Universal Health Coverage (UHC) legislation in all countries scoring below 50 on the Access Index, targeting a minimum of 70/100 by 2035.</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Deploy AI-powered disease early-warning systems in 50+ LMIC nations to enable faster outbreak response and reduce outbreak mortality by ~30%.</w:t>
      </w:r>
    </w:p>
    <w:p>
      <w:pPr>
        <w:pStyle w:val="ListParagraph"/>
        <w:numPr>
          <w:ilvl w:val="0"/>
          <w:numId w:val="3"/>
        </w:numPr>
        <w:spacing w:before="60" w:after="60"/>
      </w:pPr>
      <w:r>
        <w:rPr>
          <w:rFonts w:ascii="Calibri" w:cs="Calibri" w:eastAsia="Calibri" w:hAnsi="Calibri"/>
          <w:b w:val="false"/>
          <w:bCs w:val="false"/>
          <w:color w:val="222222"/>
          <w:sz w:val="22"/>
          <w:szCs w:val="22"/>
        </w:rPr>
        <w:t xml:space="preserve">Advocate for essential medicine price regulation to reduce out-of-pocket costs by 40% for patients in low-income regions globally.</w:t>
      </w:r>
    </w:p>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9.4  Investment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700"/>
        <w:gridCol w:w="1100"/>
        <w:gridCol w:w="1960"/>
      </w:tblGrid>
      <w:tr>
        <w:trPr>
          <w:tblHeader/>
        </w:trPr>
        <w:tc>
          <w:tcPr>
            <w:tcW w:type="dxa" w:w="28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Intervention</w:t>
            </w:r>
          </w:p>
        </w:tc>
        <w:tc>
          <w:tcPr>
            <w:tcW w:type="dxa" w:w="18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Annual Cost (Global)</w:t>
            </w:r>
          </w:p>
        </w:tc>
        <w:tc>
          <w:tcPr>
            <w:tcW w:type="dxa" w:w="17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Lives Saved/yr</w:t>
            </w:r>
          </w:p>
        </w:tc>
        <w:tc>
          <w:tcPr>
            <w:tcW w:type="dxa" w:w="11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Est. ROI</w:t>
            </w:r>
          </w:p>
        </w:tc>
        <w:tc>
          <w:tcPr>
            <w:tcW w:type="dxa" w:w="19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Timeline</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Expand vaccination programmes</w:t>
            </w:r>
          </w:p>
        </w:tc>
        <w:tc>
          <w:tcPr>
            <w:tcW w:type="dxa" w:w="1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$2.1B</w:t>
            </w:r>
          </w:p>
        </w:tc>
        <w:tc>
          <w:tcPr>
            <w:tcW w:type="dxa" w:w="17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~1.5M children</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4:1</w:t>
            </w:r>
          </w:p>
        </w:tc>
        <w:tc>
          <w:tcPr>
            <w:tcW w:type="dxa" w:w="19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0–12 months</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Mobile clinic network deployment</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$800M</w:t>
            </w:r>
          </w:p>
        </w:tc>
        <w:tc>
          <w:tcPr>
            <w:tcW w:type="dxa" w:w="1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~300K people</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3.5:1</w:t>
            </w:r>
          </w:p>
        </w:tc>
        <w:tc>
          <w:tcPr>
            <w:tcW w:type="dxa" w:w="19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6–18 months</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Physician training programme</w:t>
            </w:r>
          </w:p>
        </w:tc>
        <w:tc>
          <w:tcPr>
            <w:tcW w:type="dxa" w:w="1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$1.2B (5-year)</w:t>
            </w:r>
          </w:p>
        </w:tc>
        <w:tc>
          <w:tcPr>
            <w:tcW w:type="dxa" w:w="17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Long-term systemic</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6:1</w:t>
            </w:r>
          </w:p>
        </w:tc>
        <w:tc>
          <w:tcPr>
            <w:tcW w:type="dxa" w:w="19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1–3 years</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Hospital infrastructure grants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$3.0B</w:t>
            </w:r>
          </w:p>
        </w:tc>
        <w:tc>
          <w:tcPr>
            <w:tcW w:type="dxa" w:w="1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~600K people</w:t>
            </w:r>
          </w:p>
        </w:tc>
        <w:tc>
          <w:tcPr>
            <w:tcW w:type="dxa" w:w="1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4:1</w:t>
            </w:r>
          </w:p>
        </w:tc>
        <w:tc>
          <w:tcPr>
            <w:tcW w:type="dxa" w:w="19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2–4 years</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AI disease surveillance</w:t>
            </w:r>
          </w:p>
        </w:tc>
        <w:tc>
          <w:tcPr>
            <w:tcW w:type="dxa" w:w="1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$450M (setup)</w:t>
            </w:r>
          </w:p>
        </w:tc>
        <w:tc>
          <w:tcPr>
            <w:tcW w:type="dxa" w:w="17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~500K/outbreak</w:t>
            </w:r>
          </w:p>
        </w:tc>
        <w:tc>
          <w:tcPr>
            <w:tcW w:type="dxa" w:w="11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5:1</w:t>
            </w:r>
          </w:p>
        </w:tc>
        <w:tc>
          <w:tcPr>
            <w:tcW w:type="dxa" w:w="19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3–5 years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8"/>
              <w:left w:val="single" w:color="4A90D9" w:sz="20"/>
              <w:bottom w:val="single" w:color="4A90D9" w:sz="8"/>
              <w:right w:val="none" w:color="FFFFFF" w:sz="0"/>
            </w:tcBorders>
            <w:shd w:fill="D4EDDA" w:val="clear"/>
            <w:tcMar>
              <w:top w:type="dxa" w:w="140"/>
              <w:left w:type="dxa" w:w="240"/>
              <w:bottom w:type="dxa" w:w="140"/>
              <w:right w:type="dxa" w:w="240"/>
            </w:tcMar>
          </w:tcPr>
          <w:p>
            <w:pPr>
              <w:spacing w:before="0" w:after="0"/>
            </w:pPr>
            <w:r>
              <w:rPr>
                <w:rFonts w:ascii="Calibri" w:cs="Calibri" w:eastAsia="Calibri" w:hAnsi="Calibri"/>
                <w:i/>
                <w:iCs/>
                <w:color w:val="1A5276"/>
                <w:sz w:val="22"/>
                <w:szCs w:val="22"/>
              </w:rPr>
              <w:t xml:space="preserve">Closing the Sub-Saharan Africa funding gap entirely (~$378/person × 1.2B people) would cost approximately $450 billion over 10 years — less than 0.5% of global GDP annually.</w:t>
            </w:r>
          </w:p>
        </w:tc>
      </w:tr>
    </w:tbl>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10.  Methodology</w:t>
      </w:r>
    </w:p>
    <w:p>
      <w:pPr>
        <w:pStyle w:val="Heading2"/>
        <w:spacing w:before="300" w:after="120"/>
      </w:pPr>
      <w:r>
        <w:rPr>
          <w:rFonts w:ascii="Calibri" w:cs="Calibri" w:eastAsia="Calibri" w:hAnsi="Calibri"/>
          <w:b/>
          <w:bCs/>
          <w:color w:val="1B4F8A"/>
          <w:sz w:val="28"/>
          <w:szCs w:val="28"/>
        </w:rPr>
        <w:t xml:space="preserve">10.1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Source</w:t>
            </w:r>
          </w:p>
        </w:tc>
        <w:tc>
          <w:tcPr>
            <w:tcW w:type="dxa" w:w="38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Data Provided</w:t>
            </w:r>
          </w:p>
        </w:tc>
        <w:tc>
          <w:tcPr>
            <w:tcW w:type="dxa" w:w="2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Used For</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WHO Global Health Observatory</w:t>
            </w:r>
          </w:p>
        </w:tc>
        <w:tc>
          <w:tcPr>
            <w:tcW w:type="dxa" w:w="3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Mortality, disease burden, vaccination coverage</w:t>
            </w:r>
          </w:p>
        </w:tc>
        <w:tc>
          <w:tcPr>
            <w:tcW w:type="dxa" w:w="2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Sections 2, 3, 4</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World Bank Open Data</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Health spending, GDP, hospital infrastructure</w:t>
            </w:r>
          </w:p>
        </w:tc>
        <w:tc>
          <w:tcPr>
            <w:tcW w:type="dxa" w:w="2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Sections 3, 4, 9</w:t>
            </w:r>
          </w:p>
        </w:tc>
      </w:tr>
      <w:tr>
        <w:tc>
          <w:tcPr>
            <w:tcW w:type="dxa" w:w="2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IHME Global Burden of Disease</w:t>
            </w:r>
          </w:p>
        </w:tc>
        <w:tc>
          <w:tcPr>
            <w:tcW w:type="dxa" w:w="38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HAQ Index, DALYs, comparative effectiveness</w:t>
            </w:r>
          </w:p>
        </w:tc>
        <w:tc>
          <w:tcPr>
            <w:tcW w:type="dxa" w:w="2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Sections 3, 4, 7</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UNICEF MICS Surveys</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Under-5 mortality, child health, maternal data</w:t>
            </w:r>
          </w:p>
        </w:tc>
        <w:tc>
          <w:tcPr>
            <w:tcW w:type="dxa" w:w="2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Sections 2, 3, 4</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10.2  Analytical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rPr>
          <w:tblHeader/>
        </w:trPr>
        <w:tc>
          <w:tcPr>
            <w:tcW w:type="dxa" w:w="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Step</w:t>
            </w:r>
          </w:p>
        </w:tc>
        <w:tc>
          <w:tcPr>
            <w:tcW w:type="dxa" w:w="24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Activity</w:t>
            </w:r>
          </w:p>
        </w:tc>
        <w:tc>
          <w:tcPr>
            <w:tcW w:type="dxa" w:w="22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Tool / Method</w:t>
            </w:r>
          </w:p>
        </w:tc>
        <w:tc>
          <w:tcPr>
            <w:tcW w:type="dxa" w:w="41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Output</w:t>
            </w:r>
          </w:p>
        </w:tc>
      </w:tr>
      <w:tr>
        <w:tc>
          <w:tcPr>
            <w:tcW w:type="dxa" w:w="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w:t>
            </w:r>
          </w:p>
        </w:tc>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Data collection &amp; calibration</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Python / NumPy</w:t>
            </w:r>
          </w:p>
        </w:tc>
        <w:tc>
          <w:tcPr>
            <w:tcW w:type="dxa" w:w="4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37-country dataset (CSV)</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Exploratory Data Analysis (EDA)</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Pandas, Matplotlib</w:t>
            </w:r>
          </w:p>
        </w:tc>
        <w:tc>
          <w:tcPr>
            <w:tcW w:type="dxa" w:w="4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 publication-quality charts</w:t>
            </w:r>
          </w:p>
        </w:tc>
      </w:tr>
      <w:tr>
        <w:tc>
          <w:tcPr>
            <w:tcW w:type="dxa" w:w="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w:t>
            </w:r>
          </w:p>
        </w:tc>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Statistical analysis</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SciPy (Pearson r, p-val)</w:t>
            </w:r>
          </w:p>
        </w:tc>
        <w:tc>
          <w:tcPr>
            <w:tcW w:type="dxa" w:w="4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Correlation table (Section 4)</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Gap analysis</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Excel / Manual benchmark</w:t>
            </w:r>
          </w:p>
        </w:tc>
        <w:tc>
          <w:tcPr>
            <w:tcW w:type="dxa" w:w="4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Region gap tables (Section 7)</w:t>
            </w:r>
          </w:p>
        </w:tc>
      </w:tr>
      <w:tr>
        <w:tc>
          <w:tcPr>
            <w:tcW w:type="dxa" w:w="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5</w:t>
            </w:r>
          </w:p>
        </w:tc>
        <w:tc>
          <w:tcPr>
            <w:tcW w:type="dxa" w:w="24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Recommendations framework</w:t>
            </w:r>
          </w:p>
        </w:tc>
        <w:tc>
          <w:tcPr>
            <w:tcW w:type="dxa" w:w="22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Business analysis</w:t>
            </w:r>
          </w:p>
        </w:tc>
        <w:tc>
          <w:tcPr>
            <w:tcW w:type="dxa" w:w="41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9 prioritised interventions</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Documentation</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Markdown, Word, PowerPoint</w:t>
            </w:r>
          </w:p>
        </w:tc>
        <w:tc>
          <w:tcPr>
            <w:tcW w:type="dxa" w:w="41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All project artefacts</w:t>
            </w:r>
          </w:p>
        </w:tc>
      </w:tr>
    </w:tbl>
    <w:p>
      <w:pPr>
        <w:spacing w:before="200" w:after="0"/>
      </w:pPr>
      <w:r>
        <w:t xml:space="preserve"/>
      </w:r>
    </w:p>
    <w:p>
      <w:pPr>
        <w:pStyle w:val="Heading2"/>
        <w:spacing w:before="300" w:after="120"/>
      </w:pPr>
      <w:r>
        <w:rPr>
          <w:rFonts w:ascii="Calibri" w:cs="Calibri" w:eastAsia="Calibri" w:hAnsi="Calibri"/>
          <w:b/>
          <w:bCs/>
          <w:color w:val="1B4F8A"/>
          <w:sz w:val="28"/>
          <w:szCs w:val="28"/>
        </w:rPr>
        <w:t xml:space="preserve">10.3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60"/>
        <w:gridCol w:w="4600"/>
      </w:tblGrid>
      <w:tr>
        <w:trPr>
          <w:tblHeader/>
        </w:trPr>
        <w:tc>
          <w:tcPr>
            <w:tcW w:type="dxa" w:w="30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Tool</w:t>
            </w:r>
          </w:p>
        </w:tc>
        <w:tc>
          <w:tcPr>
            <w:tcW w:type="dxa" w:w="176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Version</w:t>
            </w:r>
          </w:p>
        </w:tc>
        <w:tc>
          <w:tcPr>
            <w:tcW w:type="dxa" w:w="4600"/>
            <w:tcBorders>
              <w:top w:val="single" w:color="CCCCCC" w:sz="4"/>
              <w:left w:val="single" w:color="CCCCCC" w:sz="4"/>
              <w:bottom w:val="single" w:color="CCCCCC" w:sz="4"/>
              <w:right w:val="single" w:color="CCCCCC" w:sz="4"/>
            </w:tcBorders>
            <w:shd w:fill="0A2C5E" w:val="clear"/>
            <w:tcMar>
              <w:top w:type="dxa" w:w="100"/>
              <w:left w:type="dxa" w:w="150"/>
              <w:bottom w:type="dxa" w:w="100"/>
              <w:right w:type="dxa" w:w="150"/>
            </w:tcMar>
            <w:vAlign w:val="center"/>
          </w:tcPr>
          <w:p>
            <w:pPr>
              <w:spacing w:before="0" w:after="0"/>
              <w:jc w:val="center"/>
            </w:pPr>
            <w:r>
              <w:rPr>
                <w:rFonts w:ascii="Calibri" w:cs="Calibri" w:eastAsia="Calibri" w:hAnsi="Calibri"/>
                <w:b/>
                <w:bCs/>
                <w:color w:val="FFFFFF"/>
                <w:sz w:val="20"/>
                <w:szCs w:val="20"/>
              </w:rPr>
              <w:t xml:space="preserve">Purpose</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Python</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3.11</w:t>
            </w:r>
          </w:p>
        </w:tc>
        <w:tc>
          <w:tcPr>
            <w:tcW w:type="dxa" w:w="4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Primary analysis language</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Pandas</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2.0</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Data manipulation and aggregation</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Matplotlib / Seaborn</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3.7 / 0.12</w:t>
            </w:r>
          </w:p>
        </w:tc>
        <w:tc>
          <w:tcPr>
            <w:tcW w:type="dxa" w:w="4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Statistical visualisations</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SciPy</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1.11</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Pearson correlation, p-values</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Jupyter Notebook</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7.0</w:t>
            </w:r>
          </w:p>
        </w:tc>
        <w:tc>
          <w:tcPr>
            <w:tcW w:type="dxa" w:w="4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Interactive exploratory analysis</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Node.js / docx</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18 / 8.x</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Word document generation</w:t>
            </w:r>
          </w:p>
        </w:tc>
      </w:tr>
      <w:tr>
        <w:tc>
          <w:tcPr>
            <w:tcW w:type="dxa" w:w="30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PptxGenJS</w:t>
            </w:r>
          </w:p>
        </w:tc>
        <w:tc>
          <w:tcPr>
            <w:tcW w:type="dxa" w:w="176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3.x</w:t>
            </w:r>
          </w:p>
        </w:tc>
        <w:tc>
          <w:tcPr>
            <w:tcW w:type="dxa" w:w="4600"/>
            <w:tcBorders>
              <w:top w:val="single" w:color="CCCCCC" w:sz="4"/>
              <w:left w:val="single" w:color="CCCCCC" w:sz="4"/>
              <w:bottom w:val="single" w:color="CCCCCC" w:sz="4"/>
              <w:right w:val="single" w:color="CCCCCC" w:sz="4"/>
            </w:tcBorders>
            <w:shd w:fill="F8FAFB"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PowerPoint presentation generation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GitHub</w:t>
            </w:r>
          </w:p>
        </w:tc>
        <w:tc>
          <w:tcPr>
            <w:tcW w:type="dxa" w:w="176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tcPr>
          <w:p>
            <w:pPr>
              <w:spacing w:before="0" w:after="0"/>
            </w:pPr>
            <w:r>
              <w:rPr>
                <w:rFonts w:ascii="Calibri" w:cs="Calibri" w:eastAsia="Calibri" w:hAnsi="Calibri"/>
                <w:color w:val="222222"/>
                <w:sz w:val="20"/>
                <w:szCs w:val="20"/>
              </w:rPr>
              <w:t xml:space="preserve">Version control and project hosting</w:t>
            </w:r>
          </w:p>
        </w:tc>
      </w:tr>
    </w:tbl>
    <w:p>
      <w:r>
        <w:br w:type="page"/>
      </w:r>
    </w:p>
    <w:p>
      <w:pPr>
        <w:pStyle w:val="Heading1"/>
        <w:pBdr>
          <w:bottom w:val="single" w:color="4A90D9" w:sz="8" w:space="4"/>
        </w:pBdr>
        <w:spacing w:before="400" w:after="160"/>
      </w:pPr>
      <w:r>
        <w:rPr>
          <w:rFonts w:ascii="Calibri" w:cs="Calibri" w:eastAsia="Calibri" w:hAnsi="Calibri"/>
          <w:b/>
          <w:bCs/>
          <w:color w:val="0A2C5E"/>
          <w:sz w:val="36"/>
          <w:szCs w:val="36"/>
        </w:rPr>
        <w:t xml:space="preserve">11.  Conclusion</w:t>
      </w:r>
    </w:p>
    <w:p>
      <w:pPr>
        <w:spacing w:before="80" w:after="80"/>
      </w:pPr>
      <w:r>
        <w:rPr>
          <w:rFonts w:ascii="Calibri" w:cs="Calibri" w:eastAsia="Calibri" w:hAnsi="Calibri"/>
          <w:color w:val="222222"/>
          <w:sz w:val="22"/>
          <w:szCs w:val="22"/>
        </w:rPr>
        <w:t xml:space="preserve">The data presented in this report tells a clear and urgent story. Seventeen million people die from preventable causes every year — not because cures do not exist, but because healthcare is inequitably distributed across the world. The tools to close this gap are known: more doctors, better access, fairer financing, and smarter use of technology.</w:t>
      </w:r>
    </w:p>
    <w:p>
      <w:pPr>
        <w:spacing w:before="120" w:after="0"/>
      </w:pPr>
      <w:r>
        <w:t xml:space="preserve"/>
      </w:r>
    </w:p>
    <w:p>
      <w:pPr>
        <w:spacing w:before="80" w:after="80"/>
      </w:pPr>
      <w:r>
        <w:rPr>
          <w:rFonts w:ascii="Calibri" w:cs="Calibri" w:eastAsia="Calibri" w:hAnsi="Calibri"/>
          <w:color w:val="222222"/>
          <w:sz w:val="22"/>
          <w:szCs w:val="22"/>
        </w:rPr>
        <w:t xml:space="preserve">Sub-Saharan Africa, home to 14% of the world's population, spends just $122 per person on healthcare while carrying 24% of the global disease burden and losing 13.6 years of life expectancy compared to developed nations. This is a solvable problem — and one that demands a response proportional to its scale.</w:t>
      </w:r>
    </w:p>
    <w:p>
      <w:pPr>
        <w:spacing w:before="120" w:after="0"/>
      </w:pPr>
      <w:r>
        <w:t xml:space="preserve"/>
      </w:r>
    </w:p>
    <w:p>
      <w:pPr>
        <w:spacing w:before="80" w:after="80"/>
      </w:pPr>
      <w:r>
        <w:rPr>
          <w:rFonts w:ascii="Calibri" w:cs="Calibri" w:eastAsia="Calibri" w:hAnsi="Calibri"/>
          <w:color w:val="222222"/>
          <w:sz w:val="22"/>
          <w:szCs w:val="22"/>
        </w:rPr>
        <w:t xml:space="preserve">This analysis has demonstrated that healthcare access is the single most powerful lever for improving health outcomes — more impactful than spending alone. Countries that invest in access (proximity, affordability, quality) see dramatically better child survival rates, longer lives, and stronger economic productivity.</w:t>
      </w:r>
    </w:p>
    <w:p>
      <w:pPr>
        <w:spacing w:before="120" w:after="0"/>
      </w:pPr>
      <w:r>
        <w:t xml:space="preserve"/>
      </w:r>
    </w:p>
    <w:p>
      <w:pPr>
        <w:spacing w:before="80" w:after="80"/>
      </w:pPr>
      <w:r>
        <w:rPr>
          <w:rFonts w:ascii="Calibri" w:cs="Calibri" w:eastAsia="Calibri" w:hAnsi="Calibri"/>
          <w:color w:val="222222"/>
          <w:sz w:val="22"/>
          <w:szCs w:val="22"/>
        </w:rPr>
        <w:t xml:space="preserve">The strategic recommendations in this report are not aspirational ideas. They are evidence-based, costed interventions with measurable impact — and a compelling economic case. Every $1 invested in healthcare in low-income countries returns $4. Closing the Sub-Saharan Africa funding gap costs less than 0.5% of global GDP annually.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8"/>
              <w:left w:val="single" w:color="4A90D9" w:sz="20"/>
              <w:bottom w:val="single" w:color="4A90D9" w:sz="8"/>
              <w:right w:val="none" w:color="FFFFFF" w:sz="0"/>
            </w:tcBorders>
            <w:shd w:fill="D6E8F7" w:val="clear"/>
            <w:tcMar>
              <w:top w:type="dxa" w:w="140"/>
              <w:left w:type="dxa" w:w="240"/>
              <w:bottom w:type="dxa" w:w="140"/>
              <w:right w:type="dxa" w:w="240"/>
            </w:tcMar>
          </w:tcPr>
          <w:p>
            <w:pPr>
              <w:spacing w:before="0" w:after="0"/>
            </w:pPr>
            <w:r>
              <w:rPr>
                <w:rFonts w:ascii="Calibri" w:cs="Calibri" w:eastAsia="Calibri" w:hAnsi="Calibri"/>
                <w:i/>
                <w:iCs/>
                <w:color w:val="0A2C5E"/>
                <w:sz w:val="22"/>
                <w:szCs w:val="22"/>
              </w:rPr>
              <w:t xml:space="preserve">"The goal of universal health coverage is not charity. It is the most powerful investment any government or donor can make." — World Health Organization</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before="0" w:after="0"/>
            </w:pPr>
            <w:r>
              <w:rPr>
                <w:rFonts w:ascii="Calibri" w:cs="Calibri" w:eastAsia="Calibri" w:hAnsi="Calibri"/>
                <w:b/>
                <w:bCs/>
                <w:color w:val="1B4F8A"/>
                <w:sz w:val="22"/>
                <w:szCs w:val="22"/>
              </w:rPr>
              <w:t xml:space="preserve">Prepared by:</w:t>
            </w:r>
            <w:r>
              <w:rPr>
                <w:rFonts w:ascii="Calibri" w:cs="Calibri" w:eastAsia="Calibri" w:hAnsi="Calibri"/>
                <w:color w:val="222222"/>
                <w:sz w:val="22"/>
                <w:szCs w:val="22"/>
              </w:rPr>
              <w:t xml:space="preserve">  Harsh Patel</w:t>
            </w:r>
          </w:p>
        </w:tc>
        <w:tc>
          <w:tcPr>
            <w:tcW w:type="dxa" w:w="4680"/>
            <w:tcBorders>
              <w:top w:val="none" w:color="FFFFFF" w:sz="0"/>
              <w:left w:val="none" w:color="FFFFFF" w:sz="0"/>
              <w:bottom w:val="none" w:color="FFFFFF" w:sz="0"/>
              <w:right w:val="none" w:color="FFFFFF" w:sz="0"/>
            </w:tcBorders>
          </w:tcPr>
          <w:p>
            <w:pPr>
              <w:spacing w:before="0" w:after="0"/>
            </w:pPr>
            <w:r>
              <w:rPr>
                <w:rFonts w:ascii="Calibri" w:cs="Calibri" w:eastAsia="Calibri" w:hAnsi="Calibri"/>
                <w:b/>
                <w:bCs/>
                <w:color w:val="1B4F8A"/>
                <w:sz w:val="22"/>
                <w:szCs w:val="22"/>
              </w:rPr>
              <w:t xml:space="preserve">GitHub:</w:t>
            </w:r>
            <w:r>
              <w:rPr>
                <w:rFonts w:ascii="Calibri" w:cs="Calibri" w:eastAsia="Calibri" w:hAnsi="Calibri"/>
                <w:color w:val="222222"/>
                <w:sz w:val="22"/>
                <w:szCs w:val="22"/>
              </w:rPr>
              <w:t xml:space="preserve">  github.com/harshaug28</w:t>
            </w:r>
          </w:p>
        </w:tc>
      </w:tr>
      <w:tr>
        <w:tc>
          <w:tcPr>
            <w:tcW w:type="dxa" w:w="4680"/>
            <w:tcBorders>
              <w:top w:val="none" w:color="FFFFFF" w:sz="0"/>
              <w:left w:val="none" w:color="FFFFFF" w:sz="0"/>
              <w:bottom w:val="none" w:color="FFFFFF" w:sz="0"/>
              <w:right w:val="none" w:color="FFFFFF" w:sz="0"/>
            </w:tcBorders>
          </w:tcPr>
          <w:p>
            <w:pPr>
              <w:spacing w:before="0" w:after="0"/>
            </w:pPr>
            <w:r>
              <w:rPr>
                <w:rFonts w:ascii="Calibri" w:cs="Calibri" w:eastAsia="Calibri" w:hAnsi="Calibri"/>
                <w:b/>
                <w:bCs/>
                <w:color w:val="1B4F8A"/>
                <w:sz w:val="22"/>
                <w:szCs w:val="22"/>
              </w:rPr>
              <w:t xml:space="preserve">Role:</w:t>
            </w:r>
            <w:r>
              <w:rPr>
                <w:rFonts w:ascii="Calibri" w:cs="Calibri" w:eastAsia="Calibri" w:hAnsi="Calibri"/>
                <w:color w:val="222222"/>
                <w:sz w:val="22"/>
                <w:szCs w:val="22"/>
              </w:rPr>
              <w:t xml:space="preserve">  Business Analyst</w:t>
            </w:r>
          </w:p>
        </w:tc>
        <w:tc>
          <w:tcPr>
            <w:tcW w:type="dxa" w:w="4680"/>
            <w:tcBorders>
              <w:top w:val="none" w:color="FFFFFF" w:sz="0"/>
              <w:left w:val="none" w:color="FFFFFF" w:sz="0"/>
              <w:bottom w:val="none" w:color="FFFFFF" w:sz="0"/>
              <w:right w:val="none" w:color="FFFFFF" w:sz="0"/>
            </w:tcBorders>
          </w:tcPr>
          <w:p>
            <w:pPr>
              <w:spacing w:before="0" w:after="0"/>
            </w:pPr>
            <w:r>
              <w:rPr>
                <w:rFonts w:ascii="Calibri" w:cs="Calibri" w:eastAsia="Calibri" w:hAnsi="Calibri"/>
                <w:b/>
                <w:bCs/>
                <w:color w:val="1B4F8A"/>
                <w:sz w:val="22"/>
                <w:szCs w:val="22"/>
              </w:rPr>
              <w:t xml:space="preserve">Date:</w:t>
            </w:r>
            <w:r>
              <w:rPr>
                <w:rFonts w:ascii="Calibri" w:cs="Calibri" w:eastAsia="Calibri" w:hAnsi="Calibri"/>
                <w:color w:val="222222"/>
                <w:sz w:val="22"/>
                <w:szCs w:val="22"/>
              </w:rPr>
              <w:t xml:space="preserve">  March 2026</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6" w:space="4"/>
      </w:pBdr>
      <w:spacing w:before="100" w:after="0"/>
      <w:jc w:val="center"/>
    </w:pPr>
    <w:r>
      <w:rPr>
        <w:rFonts w:ascii="Calibri" w:cs="Calibri" w:eastAsia="Calibri" w:hAnsi="Calibri"/>
        <w:color w:val="777777"/>
        <w:sz w:val="17"/>
        <w:szCs w:val="17"/>
      </w:rPr>
      <w:t xml:space="preserve">Page </w:t>
    </w:r>
    <w:r>
      <w:rPr>
        <w:rFonts w:ascii="Calibri" w:cs="Calibri" w:eastAsia="Calibri" w:hAnsi="Calibri"/>
        <w:color w:val="777777"/>
        <w:sz w:val="17"/>
        <w:szCs w:val="17"/>
      </w:rPr>
      <w:fldChar w:fldCharType="begin"/>
      <w:instrText xml:space="preserve">PAGE</w:instrText>
      <w:fldChar w:fldCharType="separate"/>
      <w:fldChar w:fldCharType="end"/>
    </w:r>
    <w:r>
      <w:rPr>
        <w:rFonts w:ascii="Calibri" w:cs="Calibri" w:eastAsia="Calibri" w:hAnsi="Calibri"/>
        <w:color w:val="777777"/>
        <w:sz w:val="17"/>
        <w:szCs w:val="17"/>
      </w:rPr>
      <w:t xml:space="preserve"> of </w:t>
    </w:r>
    <w:r>
      <w:rPr>
        <w:rFonts w:ascii="Calibri" w:cs="Calibri" w:eastAsia="Calibri" w:hAnsi="Calibri"/>
        <w:color w:val="777777"/>
        <w:sz w:val="17"/>
        <w:szCs w:val="17"/>
      </w:rPr>
      <w:fldChar w:fldCharType="begin"/>
      <w:instrText xml:space="preserve">NUMPAGES</w:instrText>
      <w:fldChar w:fldCharType="separate"/>
      <w:fldChar w:fldCharType="end"/>
    </w:r>
    <w:r>
      <w:rPr>
        <w:rFonts w:ascii="Calibri" w:cs="Calibri" w:eastAsia="Calibri" w:hAnsi="Calibri"/>
        <w:color w:val="777777"/>
        <w:sz w:val="17"/>
        <w:szCs w:val="17"/>
      </w:rPr>
      <w:t xml:space="preserve">   |   github.com/harshaug28/healthcare-ba-project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6" w:space="4"/>
      </w:pBdr>
      <w:tabs>
        <w:tab w:val="right" w:pos="9026"/>
      </w:tabs>
      <w:spacing w:before="0" w:after="100"/>
    </w:pPr>
    <w:r>
      <w:rPr>
        <w:rFonts w:ascii="Calibri" w:cs="Calibri" w:eastAsia="Calibri" w:hAnsi="Calibri"/>
        <w:color w:val="777777"/>
        <w:sz w:val="17"/>
        <w:szCs w:val="17"/>
      </w:rPr>
      <w:t xml:space="preserve">GLOBAL HEALTHCARE CRISIS  |  Business Analysis Report</w:t>
    </w:r>
    <w:r>
      <w:rPr>
        <w:rFonts w:ascii="Calibri" w:cs="Calibri" w:eastAsia="Calibri" w:hAnsi="Calibri"/>
        <w:color w:val="777777"/>
        <w:sz w:val="17"/>
        <w:szCs w:val="17"/>
      </w:rPr>
      <w:t xml:space="preserve">	 Harsh Patel  ·  github.com/harshaug28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4A90D9"/>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A2C5E"/>
      <w:sz w:val="36"/>
      <w:szCs w:val="36"/>
    </w:rPr>
  </w:style>
  <w:style w:type="paragraph" w:styleId="Heading2">
    <w:name w:val="Heading 2"/>
    <w:basedOn w:val="Normal"/>
    <w:next w:val="Normal"/>
    <w:qFormat/>
    <w:pPr>
      <w:spacing w:before="300" w:after="120"/>
      <w:outlineLvl w:val="1"/>
    </w:pPr>
    <w:rPr>
      <w:rFonts w:ascii="Calibri" w:cs="Calibri" w:eastAsia="Calibri" w:hAnsi="Calibri"/>
      <w:b/>
      <w:bCs/>
      <w:color w:val="1B4F8A"/>
      <w:sz w:val="28"/>
      <w:szCs w:val="28"/>
    </w:rPr>
  </w:style>
  <w:style w:type="paragraph" w:styleId="Heading3">
    <w:name w:val="Heading 3"/>
    <w:basedOn w:val="Normal"/>
    <w:next w:val="Normal"/>
    <w:qFormat/>
    <w:pPr>
      <w:spacing w:before="220" w:after="80"/>
      <w:outlineLvl w:val="2"/>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0eab99a4720b445e3d3d402dfb8ab7a4cae64fd.png"/><Relationship Id="rId9" Type="http://schemas.openxmlformats.org/officeDocument/2006/relationships/image" Target="media/3c7bfc153ca072aace45ad91bb3bd02e9d7575c7.png"/><Relationship Id="rId10" Type="http://schemas.openxmlformats.org/officeDocument/2006/relationships/image" Target="media/25e7c0e99beacdc0861615ef3f4c886997c09fcd.png"/><Relationship Id="rId11" Type="http://schemas.openxmlformats.org/officeDocument/2006/relationships/image" Target="media/9ff1c7d7ecda85523457127a08d995edc1aa6bdc.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2026-03-08T21:02:53.747Z</dcterms:created>
  <dcterms:modified xsi:type="dcterms:W3CDTF">2026-03-08T21:02:53.749Z</dcterms:modified>
</cp:coreProperties>
</file>

<file path=docProps/custom.xml><?xml version="1.0" encoding="utf-8"?>
<Properties xmlns="http://schemas.openxmlformats.org/officeDocument/2006/custom-properties" xmlns:vt="http://schemas.openxmlformats.org/officeDocument/2006/docPropsVTypes"/>
</file>