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E4D8C"/>
          <w:sz w:val="48"/>
          <w:szCs w:val="48"/>
        </w:rPr>
        <w:t xml:space="preserve">BUSINESS REQUIREMENTS DOCUMENT (BRD)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ShopEase Customer Churn Reduction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March 2026  |  Status: Draft for Review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1. 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Requirements Document — Churn Reduction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ShopEase Customer Churn Reduction Initiative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Pending Stakeholder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Name], Business Analyst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Customer Experience, Head of Data Science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Customer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Created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2. Executive Summary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ShopEase currently loses 27% of its customer base annually — equivalent to $4.2M in lost revenue. Root cause analysis reveals the primary drivers to be: (1) late detection of at-risk customers, (2) generic, untargeted retention communications, and (3) no cross-functional visibility into churn trends.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This BRD defines the business requirements for a Customer Churn Prediction and Retention System that will enable proactive, personalized, and measurable customer retention. The solution combines machine learning, marketing automation, and CRM integration to create a closed-loop retention process.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3.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00"/>
        <w:gridCol w:w="3500"/>
        <w:gridCol w:w="19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Objective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Outcome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annual customer churn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Decrease from 27% to 15% within 12 months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early intervention coverage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at-risk customers receive automated outreach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retention campaign ROI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ROI within 6 months of go-live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 manual churn reporting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analyst hours on monthly reports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data-driven retention decisions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Leadership churn dashboard used weekly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4. Business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Customer Risk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4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assign a churn risk score (0–100) to every active customer, updated daily.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CX, CSM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classify customers into risk tiers: Low (&lt;30), Medium (30–60), High (&gt;60).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display the top 3 contributing factors to a customer's risk score in plain English.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maintain 90 days of risk score history per customer.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incorporate purchase history, support ticket data, and email engagement as scoring inputs.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scores shall be visible to CSMs within the existing Salesforce CRM interface.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 Lead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Automated Retention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4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automatically trigger a retention email within 2 hours of a customer crossing the high-risk threshold (score &gt;60).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Mgr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 emails shall be personalized based on the customer's top purchase category.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Mgr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discount offered in retention emails shall be dynamically calculated based on customer lifetime value and risk score.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already enrolled in an active campaign shall not receive a duplicate trigger for 14 days.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Mgr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campaign emails shall include a functional unsubscribe link compliant with CAN-SPAM and CASL.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Legal/DPO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track email open rate, click-through rate, and conversion to purchase for each campaign.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Mgr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testing capability shall be available for retention email subject lines and content.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Mgr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CSM Workflow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4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CSMs shall have access to a prioritized at-risk customer dashboard sorted by (risk score × customer lifetime value).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dashboard shall provide AI-generated talking-point recommendations for each at-risk customer.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CSMs shall be able to log outreach outcomes (Retained / Churned / No Response) directly in the CRM.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dashboard shall load within 5 seconds for up to 1,000 at-risk customers.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Lead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Analytics &amp;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400"/>
        <w:gridCol w:w="2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executive dashboard shall display the current monthly churn rate vs. target, updated daily.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BR-19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dashboard shall show month-over-month and year-over-year churn trends.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data shall be segmentable by: customer tier, product category, geography, and acquisition channel.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shall auto-generate and email a monthly churn report to leadership.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BR-22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dashboard data shall be exportable to Excel and PowerPoint.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Could Have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CX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5. Non-Functional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800"/>
        <w:gridCol w:w="1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scoring batch job completes within 2 hours for up to 500,000 customers.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available 99.5% uptime (max 22 hours downtime/year).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PII is encrypted at rest (AES-256) and in transit (TLS 1.3).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complies with GDPR (EU) and PIPEDA (Canada). Privacy Impact Assessment required before go-live.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must support 3x current customer volume without re-architecture.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automated actions (score changes, email triggers) logged with timestamp and actor.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 dashboard requires no more than 30 minutes of training to operate.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6. Business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BR-RULE-01: A customer is CHURNED when they have made zero purchases for 90 consecutive days AND have not responded to any retention outreach in that period.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BR-RULE-02: A customer is AT-RISK (High) when their churn risk score exceeds 60. This threshold may be adjusted quarterly based on model performance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BR-RULE-03: Retention offers for Premium-tier customers may not exceed 25% discount without VP approval.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BR-RULE-04: Customers who have unsubscribed from marketing emails must NOT receive automated retention campaigns. CSM outreach via phone is permitted.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BR-RULE-05: Campaign suppression window is 14 days — no customer may receive more than one automated retention email in any 14-day period.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BR-RULE-06: ML model must be retrained monthly. Model with AUC below 0.75 on the latest validation set must be flagged for review before continued use in production.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7.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ASMP-01: A minimum of 24 months of historical purchase and churn data is available and accessible for model training.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ASMP-02: Salesforce CRM will remain the primary customer data platform throughout the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ASMP-03: The Data Science team will provide ML model development resources at 60% capacity during Phases 2–4.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ASMP-04: HubSpot Marketing Platform can be integrated via its standard REST API without custom development.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ASMP-05: Customer consent for behavioral data use is already captured under the existing privacy policy. DPO to confirm.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8.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CON-01: Total project budget must not exceed $130,000 in Year 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CON-02: System go-live must occur before October 1, 2026 to capture Q4 holiday season retention benefits.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CON-03: No modifications to the existing customer-facing website or mobile app are in scope.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CON-04: Customer PII must not be used in ML model training without anonymization or pseudonymization.</w:t>
      </w: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9.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200"/>
        <w:gridCol w:w="3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Delayed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 provisioned and populated with 24-month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blocks ML model training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API access credentials provided by 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blocks CRM integration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 account upgraded to marketing automation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blocks campaign automation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Impact Assessment completed by DPO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may block go-live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DEP-05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 Team Lead available for dashboard design review (Week 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delays UAT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1"/>
        </w:pBdr>
        <w:spacing w:before="360" w:after="16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10.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1800"/>
        <w:gridCol w:w="1200"/>
        <w:gridCol w:w="20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Customer 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Approved  ☐ Changes 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of Data Science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Approved  ☐ Changes 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Approved  ☐ Changes 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Approved  ☐ Changes Required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2026-03-08T20:13:02.485Z</dcterms:created>
  <dcterms:modified xsi:type="dcterms:W3CDTF">2026-03-08T20:13:02.485Z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