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jc w:val="center"/>
      </w:pPr>
      <w:r>
        <w:rPr>
          <w:rFonts w:ascii="Arial" w:cs="Arial" w:eastAsia="Arial" w:hAnsi="Arial"/>
          <w:b/>
          <w:bCs/>
          <w:color w:val="14532D"/>
          <w:sz w:val="48"/>
          <w:szCs w:val="48"/>
        </w:rPr>
        <w:t xml:space="preserve">FUNCTIONAL REQUIREMENTS DOCUMENT (FRD)</w:t>
      </w:r>
    </w:p>
    <w:p>
      <w:pPr>
        <w:spacing w:before="0" w:after="80"/>
        <w:jc w:val="center"/>
      </w:pPr>
      <w:r>
        <w:rPr>
          <w:rFonts w:ascii="Arial" w:cs="Arial" w:eastAsia="Arial" w:hAnsi="Arial"/>
          <w:b/>
          <w:bCs/>
          <w:color w:val="166534"/>
          <w:sz w:val="32"/>
          <w:szCs w:val="32"/>
        </w:rPr>
        <w:t xml:space="preserve">ShopEase Customer Churn Reduction System</w:t>
      </w:r>
    </w:p>
    <w:p>
      <w:pPr>
        <w:spacing w:before="0" w:after="480"/>
        <w:jc w:val="center"/>
      </w:pPr>
      <w:r>
        <w:rPr>
          <w:rFonts w:ascii="Arial" w:cs="Arial" w:eastAsia="Arial" w:hAnsi="Arial"/>
          <w:color w:val="888888"/>
          <w:sz w:val="20"/>
          <w:szCs w:val="20"/>
        </w:rPr>
        <w:t xml:space="preserve">Version 1.0  |  March 2026  |  For Development Team Use</w:t>
      </w:r>
    </w:p>
    <w:p>
      <w:pPr>
        <w:pStyle w:val="Heading1"/>
        <w:pBdr>
          <w:bottom w:val="single" w:color="14532D" w:sz="4" w:space="1"/>
        </w:pBdr>
        <w:spacing w:before="360" w:after="160"/>
      </w:pPr>
      <w:r>
        <w:rPr>
          <w:rFonts w:ascii="Arial" w:cs="Arial" w:eastAsia="Arial" w:hAnsi="Arial"/>
          <w:b/>
          <w:bCs/>
          <w:color w:val="14532D"/>
          <w:sz w:val="28"/>
          <w:szCs w:val="28"/>
        </w:rPr>
        <w:t xml:space="preserve">1. Purpose &amp; Scope</w:t>
      </w:r>
    </w:p>
    <w:p>
      <w:pPr>
        <w:spacing w:before="60" w:after="80"/>
      </w:pPr>
      <w:r>
        <w:rPr>
          <w:rFonts w:ascii="Arial" w:cs="Arial" w:eastAsia="Arial" w:hAnsi="Arial"/>
          <w:sz w:val="22"/>
          <w:szCs w:val="22"/>
        </w:rPr>
        <w:t xml:space="preserve">This Functional Requirements Document (FRD) translates the business requirements defined in the BRD into specific, testable functional specifications for the development team. It describes what the system must do, how it should behave, and the technical interfaces required.</w:t>
      </w:r>
    </w:p>
    <w:p>
      <w:pPr>
        <w:spacing w:before="60" w:after="80"/>
      </w:pPr>
      <w:r>
        <w:rPr>
          <w:rFonts w:ascii="Arial" w:cs="Arial" w:eastAsia="Arial" w:hAnsi="Arial"/>
          <w:sz w:val="22"/>
          <w:szCs w:val="22"/>
        </w:rPr>
        <w:t xml:space="preserve">Audience: Development Team, QA Engineers, Solution Architects, Data Scientists</w:t>
      </w:r>
    </w:p>
    <w:p>
      <w:pPr>
        <w:pStyle w:val="Heading1"/>
        <w:pBdr>
          <w:bottom w:val="single" w:color="14532D" w:sz="4" w:space="1"/>
        </w:pBdr>
        <w:spacing w:before="360" w:after="160"/>
      </w:pPr>
      <w:r>
        <w:rPr>
          <w:rFonts w:ascii="Arial" w:cs="Arial" w:eastAsia="Arial" w:hAnsi="Arial"/>
          <w:b/>
          <w:bCs/>
          <w:color w:val="14532D"/>
          <w:sz w:val="28"/>
          <w:szCs w:val="28"/>
        </w:rPr>
        <w:t xml:space="preserve">2. System Architecture Overview</w:t>
      </w:r>
    </w:p>
    <w:p>
      <w:pPr>
        <w:pStyle w:val="Heading2"/>
        <w:spacing w:before="240" w:after="120"/>
      </w:pPr>
      <w:r>
        <w:rPr>
          <w:rFonts w:ascii="Arial" w:cs="Arial" w:eastAsia="Arial" w:hAnsi="Arial"/>
          <w:b/>
          <w:bCs/>
          <w:color w:val="166534"/>
          <w:sz w:val="24"/>
          <w:szCs w:val="24"/>
        </w:rPr>
        <w:t xml:space="preserve">2.1 Component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Data Pipeline</w:t>
            </w:r>
          </w:p>
        </w:tc>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Apache Kafka + AWS Kinesis</w:t>
            </w:r>
          </w:p>
        </w:tc>
        <w:tc>
          <w:tcPr>
            <w:tcW w:type="dxa" w:w="4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Real-time event streaming from application layer to data warehouse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Warehouse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AWS Redshift (or Snowflake)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Central store for customer behavioral data used in ML scoring</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ML Scoring Engine</w:t>
            </w:r>
          </w:p>
        </w:tc>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Python (scikit-learn / XGBoost)</w:t>
            </w:r>
          </w:p>
        </w:tc>
        <w:tc>
          <w:tcPr>
            <w:tcW w:type="dxa" w:w="4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Nightly batch job; produces churn scores for all active customers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Score API</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(FastAPI / AWS Lambda)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Serves churn scores to CRM and dashboard in real-time</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CRM Integration</w:t>
            </w:r>
          </w:p>
        </w:tc>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Salesforce (custom fields + LWC)</w:t>
            </w:r>
          </w:p>
        </w:tc>
        <w:tc>
          <w:tcPr>
            <w:tcW w:type="dxa" w:w="4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Displays risk scores and talking points within CSM workflow</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Automation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Marketing API</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Triggers and personalizes retention emails based on score events</w:t>
            </w:r>
          </w:p>
        </w:tc>
      </w:tr>
      <w:tr>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Analytics Dashboard</w:t>
            </w:r>
          </w:p>
        </w:tc>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Power BI (Embedded)</w:t>
            </w:r>
          </w:p>
        </w:tc>
        <w:tc>
          <w:tcPr>
            <w:tcW w:type="dxa" w:w="4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Executive and CSM-facing visualizations</w:t>
            </w:r>
          </w:p>
        </w:tc>
      </w:tr>
    </w:tbl>
    <w:p>
      <w:pPr>
        <w:spacing w:before="200"/>
      </w:pPr>
    </w:p>
    <w:p>
      <w:pPr>
        <w:pStyle w:val="Heading1"/>
        <w:pBdr>
          <w:bottom w:val="single" w:color="14532D" w:sz="4" w:space="1"/>
        </w:pBdr>
        <w:spacing w:before="360" w:after="160"/>
      </w:pPr>
      <w:r>
        <w:rPr>
          <w:rFonts w:ascii="Arial" w:cs="Arial" w:eastAsia="Arial" w:hAnsi="Arial"/>
          <w:b/>
          <w:bCs/>
          <w:color w:val="14532D"/>
          <w:sz w:val="28"/>
          <w:szCs w:val="28"/>
        </w:rPr>
        <w:t xml:space="preserve">3. Functional Specifications</w:t>
      </w:r>
    </w:p>
    <w:p>
      <w:pPr>
        <w:pStyle w:val="Heading2"/>
        <w:spacing w:before="240" w:after="120"/>
      </w:pPr>
      <w:r>
        <w:rPr>
          <w:rFonts w:ascii="Arial" w:cs="Arial" w:eastAsia="Arial" w:hAnsi="Arial"/>
          <w:b/>
          <w:bCs/>
          <w:color w:val="166534"/>
          <w:sz w:val="24"/>
          <w:szCs w:val="24"/>
        </w:rPr>
        <w:t xml:space="preserve">3.1 Data Pipeline — FR-DP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1800"/>
        <w:gridCol w:w="1800"/>
        <w:gridCol w:w="1560"/>
      </w:tblGrid>
      <w:tr>
        <w:tc>
          <w:tcPr>
            <w:tcW w:type="dxa" w:w="1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2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Functional Requirement</w:t>
            </w:r>
          </w:p>
        </w:tc>
        <w:tc>
          <w:tcPr>
            <w:tcW w:type="dxa" w:w="1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1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Outputs</w:t>
            </w:r>
          </w:p>
        </w:tc>
        <w:tc>
          <w:tcPr>
            <w:tcW w:type="dxa" w:w="15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FR-DP-01</w:t>
            </w:r>
          </w:p>
        </w:tc>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Stream purchase events to data warehouse within 15 minutes of transaction</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Order placed event from OMS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purchase_events table in Redshift</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FR-DP-02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Stream support ticket creation/closure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Ticket created/updated in Zendesk webhook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support_events table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FR-DP-03</w:t>
            </w:r>
          </w:p>
        </w:tc>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Stream email engagement events (open, click, unsubscribe)</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HubSpot webhook</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email_events table</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Real-time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FR-DP-04</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rollup: compute 90-day behavioral aggregates per customer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Raw event tables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customer_behavior table (updated daily)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 AM UTC</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FR-DP-05</w:t>
            </w:r>
          </w:p>
        </w:tc>
        <w:tc>
          <w:tcPr>
            <w:tcW w:type="dxa" w:w="3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Data quality validation: reject records with missing customer_id or invalid timestamps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All incoming events</w:t>
            </w:r>
          </w:p>
        </w:tc>
        <w:tc>
          <w:tcPr>
            <w:tcW w:type="dxa" w:w="1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DQ error log; alert sent to Data Eng on-call</w:t>
            </w:r>
          </w:p>
        </w:tc>
        <w:tc>
          <w:tcPr>
            <w:tcW w:type="dxa" w:w="15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On each event</w:t>
            </w:r>
          </w:p>
        </w:tc>
      </w:tr>
    </w:tbl>
    <w:p>
      <w:pPr>
        <w:spacing w:before="160"/>
      </w:pPr>
    </w:p>
    <w:p>
      <w:pPr>
        <w:pStyle w:val="Heading2"/>
        <w:spacing w:before="240" w:after="120"/>
      </w:pPr>
      <w:r>
        <w:rPr>
          <w:rFonts w:ascii="Arial" w:cs="Arial" w:eastAsia="Arial" w:hAnsi="Arial"/>
          <w:b/>
          <w:bCs/>
          <w:color w:val="166534"/>
          <w:sz w:val="24"/>
          <w:szCs w:val="24"/>
        </w:rPr>
        <w:t xml:space="preserve">3.2 ML Scoring Engine — FR-ML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6360"/>
      </w:tblGrid>
      <w:tr>
        <w:tc>
          <w:tcPr>
            <w:tcW w:type="dxa" w:w="1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Functional Requirement</w:t>
            </w:r>
          </w:p>
        </w:tc>
        <w:tc>
          <w:tcPr>
            <w:tcW w:type="dxa" w:w="63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FR-ML-01</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Daily batch scoring</w:t>
            </w:r>
          </w:p>
        </w:tc>
        <w:tc>
          <w:tcPr>
            <w:tcW w:type="dxa" w:w="6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Job runs nightly at 2:00 AM UTC. Must complete within 2 hours for up to 500K customers. Uses XGBoost classifier trained on 24-month historical data.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FR-ML-02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Feature set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inputs: days_since_last_purchase, purchase_count_90d, support_tickets_90d, email_open_rate_90d, email_click_rate_90d, login_count_90d, browse_to_purchase_rate, customer_segment (encoded), purchase_velocity_trend.</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FR-ML-03</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Score output</w:t>
            </w:r>
          </w:p>
        </w:tc>
        <w:tc>
          <w:tcPr>
            <w:tcW w:type="dxa" w:w="6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Float prediction converted to integer scale 0–100. Score = round(churn_probability * 100). Written to churn_risk_scores table with model_version tag.</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FR-ML-04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Risk tier 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score 0–29. Medium: score 30–59. High: score 60–100. Thresholds configurable via admin UI without redeployment.</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FR-ML-05</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Feature importance output</w:t>
            </w:r>
          </w:p>
        </w:tc>
        <w:tc>
          <w:tcPr>
            <w:tcW w:type="dxa" w:w="6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Top 5 SHAP values per customer mapped to human-readable labels and written to risk_factors table for CRM display.</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FR-ML-06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Model performance logging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each batch run, log: AUC, precision, recall, F1 on rolling 30-day validation set. Alert to Slack if AUC drops below 0.75.</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FR-ML-07</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Monthly retraining</w:t>
            </w:r>
          </w:p>
        </w:tc>
        <w:tc>
          <w:tcPr>
            <w:tcW w:type="dxa" w:w="6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Automated retraining pipeline runs on 1st of each month. New model deployed if AUC &gt;= 0.80 on holdout set; else existing model retained and alert raised.</w:t>
            </w:r>
          </w:p>
        </w:tc>
      </w:tr>
    </w:tbl>
    <w:p>
      <w:pPr>
        <w:spacing w:before="160"/>
      </w:pPr>
    </w:p>
    <w:p>
      <w:pPr>
        <w:pStyle w:val="Heading2"/>
        <w:spacing w:before="240" w:after="120"/>
      </w:pPr>
      <w:r>
        <w:rPr>
          <w:rFonts w:ascii="Arial" w:cs="Arial" w:eastAsia="Arial" w:hAnsi="Arial"/>
          <w:b/>
          <w:bCs/>
          <w:color w:val="166534"/>
          <w:sz w:val="24"/>
          <w:szCs w:val="24"/>
        </w:rPr>
        <w:t xml:space="preserve">3.3 Risk Score API — FR-API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800"/>
        <w:gridCol w:w="3360"/>
      </w:tblGrid>
      <w:tr>
        <w:tc>
          <w:tcPr>
            <w:tcW w:type="dxa" w:w="24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3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GET /risk/{customer_id}</w:t>
            </w:r>
          </w:p>
        </w:tc>
        <w:tc>
          <w:tcPr>
            <w:tcW w:type="dxa" w:w="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Return latest risk score for a customer</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score: 73, tier: 'High', updated_at: '2026-03-08', top_factors: [...] }</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GET /risk/batch</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Return risk scores for a list of customer IDs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Array of risk objects</w:t>
            </w:r>
          </w:p>
        </w:tc>
      </w:tr>
      <w:tr>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GET /risk/history/{customer_id}</w:t>
            </w:r>
          </w:p>
        </w:tc>
        <w:tc>
          <w:tcPr>
            <w:tcW w:type="dxa" w:w="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GET</w:t>
            </w:r>
          </w:p>
        </w:tc>
        <w:tc>
          <w:tcPr>
            <w:tcW w:type="dxa" w:w="2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Return 90-day score history</w:t>
            </w:r>
          </w:p>
        </w:tc>
        <w:tc>
          <w:tcPr>
            <w:tcW w:type="dxa" w:w="3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Array of { date, score } objects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/risk/threshold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 update risk tier thresholds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Confirmation + new thresholds</w:t>
            </w:r>
          </w:p>
        </w:tc>
      </w:tr>
    </w:tbl>
    <w:p>
      <w:pPr>
        <w:spacing w:before="60" w:after="80"/>
      </w:pPr>
      <w:r>
        <w:rPr>
          <w:rFonts w:ascii="Arial" w:cs="Arial" w:eastAsia="Arial" w:hAnsi="Arial"/>
          <w:sz w:val="22"/>
          <w:szCs w:val="22"/>
        </w:rPr>
        <w:t xml:space="preserve">Authentication: All API calls must include a valid Bearer token (JWT). Token expires every 24 hours.</w:t>
      </w:r>
    </w:p>
    <w:p>
      <w:pPr>
        <w:spacing w:before="60" w:after="80"/>
      </w:pPr>
      <w:r>
        <w:rPr>
          <w:rFonts w:ascii="Arial" w:cs="Arial" w:eastAsia="Arial" w:hAnsi="Arial"/>
          <w:sz w:val="22"/>
          <w:szCs w:val="22"/>
        </w:rPr>
        <w:t xml:space="preserve">Rate Limiting: Max 100 requests/second per API consumer. Burst: 200 req/sec for 30 seconds.</w:t>
      </w:r>
    </w:p>
    <w:p>
      <w:pPr>
        <w:spacing w:before="160"/>
      </w:pPr>
    </w:p>
    <w:p>
      <w:pPr>
        <w:pStyle w:val="Heading2"/>
        <w:spacing w:before="240" w:after="120"/>
      </w:pPr>
      <w:r>
        <w:rPr>
          <w:rFonts w:ascii="Arial" w:cs="Arial" w:eastAsia="Arial" w:hAnsi="Arial"/>
          <w:b/>
          <w:bCs/>
          <w:color w:val="166534"/>
          <w:sz w:val="24"/>
          <w:szCs w:val="24"/>
        </w:rPr>
        <w:t xml:space="preserve">3.4 Campaign Automation — FR-CA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4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Functional Requirement</w:t>
            </w:r>
          </w:p>
        </w:tc>
        <w:tc>
          <w:tcPr>
            <w:tcW w:type="dxa" w:w="59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FR-CA-01</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High-risk threshold event trigger</w:t>
            </w:r>
          </w:p>
        </w:tc>
        <w:tc>
          <w:tcPr>
            <w:tcW w:type="dxa" w:w="5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When a customer's score first crosses 60 (or increases by 15+ points within the High tier), publish a churn_risk_alert event to campaign platform. Frequency cap: max 1 trigger per customer per 14 days.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FR-CA-02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segmentation for personalization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Map customer's top_category to email template: Electronics-&gt;template_elect, Fashion-&gt;template_fash, Home&amp;Garden-&gt;template_home, Other-&gt;template_generic.</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FR-CA-03</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Dynamic discount calculation</w:t>
            </w:r>
          </w:p>
        </w:tc>
        <w:tc>
          <w:tcPr>
            <w:tcW w:type="dxa" w:w="5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Discount % = min(5 + (risk_score - 60) * 0.5, 25). Premium-tier customers: multiply by 1.2, cap at 25%. Calculation logged per email send.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FR-CA-04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Email send via HubSpot API</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/marketing/v3/emails/send with template_id, contact_id, and personalization tokens. Log response (sent/failed) with timestamp.</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FR-CA-05</w:t>
            </w:r>
          </w:p>
        </w:tc>
        <w:tc>
          <w:tcPr>
            <w:tcW w:type="dxa" w:w="24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Unsubscribe compliance</w:t>
            </w:r>
          </w:p>
        </w:tc>
        <w:tc>
          <w:tcPr>
            <w:tcW w:type="dxa" w:w="59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All templates include {% unsubscribe %} HubSpot token. System must honor unsubscribe within 10 business days (CASL requirement). Unsubscribed contacts must be excluded from all future automated sends.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FR-CA-06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Campaign tracking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Track: email_sent, email_opened (by pixel), email_clicked (by tracked URL), converted_to_purchase (by purchase within 30 days of send). Store in campaign_events table.</w:t>
            </w:r>
          </w:p>
        </w:tc>
      </w:tr>
    </w:tbl>
    <w:p>
      <w:pPr>
        <w:spacing w:before="160"/>
      </w:pPr>
    </w:p>
    <w:p>
      <w:pPr>
        <w:pStyle w:val="Heading2"/>
        <w:spacing w:before="240" w:after="120"/>
      </w:pPr>
      <w:r>
        <w:rPr>
          <w:rFonts w:ascii="Arial" w:cs="Arial" w:eastAsia="Arial" w:hAnsi="Arial"/>
          <w:b/>
          <w:bCs/>
          <w:color w:val="166534"/>
          <w:sz w:val="24"/>
          <w:szCs w:val="24"/>
        </w:rPr>
        <w:t xml:space="preserve">3.5 CRM Integration (Salesforce) — FR-CRM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c>
          <w:tcPr>
            <w:tcW w:type="dxa" w:w="1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1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Implementation Detail</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FR-CRM-01</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Custom fields on Contact record</w:t>
            </w:r>
          </w:p>
        </w:tc>
        <w:tc>
          <w:tcPr>
            <w:tcW w:type="dxa" w:w="6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Add fields: Churn_Risk_Score__c (Number), Churn_Risk_Tier__c (Picklist: Low/Medium/High), Risk_Score_Date__c (Date), Risk_Factor_1__c through Risk_Factor_3__c (Text 255)</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FR-CRM-02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sync via API</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Nightly Apex scheduled job calls Risk Score API at 6:00 AM UTC. Updates all Contact records where Churn_Risk_Score__c differs from API response. Log sync results.</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FR-CRM-03</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At-Risk Dashboard (Lightning)</w:t>
            </w:r>
          </w:p>
        </w:tc>
        <w:tc>
          <w:tcPr>
            <w:tcW w:type="dxa" w:w="6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Custom Lightning Web Component (LWC) on CSM home page. List view filtered to Churn_Risk_Tier__c = 'High', sorted by (Score × LTV) descending. Max 200 records per page.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FR-CRM-04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Talking Points Widget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LWC displays Risk_Factor_1__c through Risk_Factor_3__c with pre-built conversation starters. Refreshes on record open.</w:t>
            </w:r>
          </w:p>
        </w:tc>
      </w:tr>
      <w:tr>
        <w:tc>
          <w:tcPr>
            <w:tcW w:type="dxa" w:w="1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FR-CRM-05</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Outreach Logging</w:t>
            </w:r>
          </w:p>
        </w:tc>
        <w:tc>
          <w:tcPr>
            <w:tcW w:type="dxa" w:w="61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Custom 'Log Retention Outreach' button on Contact record. Opens modal: Outcome (Retained/Churned/No Response), Channel (Email/Phone/Chat), Notes. Creates Salesforce Activity record.</w:t>
            </w:r>
          </w:p>
        </w:tc>
      </w:tr>
    </w:tbl>
    <w:p>
      <w:pPr>
        <w:spacing w:before="200"/>
      </w:pPr>
    </w:p>
    <w:p>
      <w:pPr>
        <w:pStyle w:val="Heading1"/>
        <w:pBdr>
          <w:bottom w:val="single" w:color="14532D" w:sz="4" w:space="1"/>
        </w:pBdr>
        <w:spacing w:before="360" w:after="160"/>
      </w:pPr>
      <w:r>
        <w:rPr>
          <w:rFonts w:ascii="Arial" w:cs="Arial" w:eastAsia="Arial" w:hAnsi="Arial"/>
          <w:b/>
          <w:bCs/>
          <w:color w:val="14532D"/>
          <w:sz w:val="28"/>
          <w:szCs w:val="28"/>
        </w:rPr>
        <w:t xml:space="preserve">4. Data Flow Diagram (Textual DFD)</w:t>
      </w:r>
    </w:p>
    <w:p>
      <w:pPr>
        <w:pStyle w:val="Heading2"/>
        <w:spacing w:before="240" w:after="120"/>
      </w:pPr>
      <w:r>
        <w:rPr>
          <w:rFonts w:ascii="Arial" w:cs="Arial" w:eastAsia="Arial" w:hAnsi="Arial"/>
          <w:b/>
          <w:bCs/>
          <w:color w:val="166534"/>
          <w:sz w:val="24"/>
          <w:szCs w:val="24"/>
        </w:rPr>
        <w:t xml:space="preserve">Level 0 — Context Diagram</w:t>
      </w:r>
    </w:p>
    <w:p>
      <w:pPr>
        <w:spacing w:before="60" w:after="80"/>
      </w:pPr>
      <w:r>
        <w:rPr>
          <w:rFonts w:ascii="Arial" w:cs="Arial" w:eastAsia="Arial" w:hAnsi="Arial"/>
          <w:sz w:val="22"/>
          <w:szCs w:val="22"/>
        </w:rPr>
        <w:t xml:space="preserve">External Entities: Customer, CSM, Marketing Team, Executive</w:t>
      </w:r>
    </w:p>
    <w:p>
      <w:pPr>
        <w:spacing w:before="60" w:after="80"/>
      </w:pPr>
      <w:r>
        <w:rPr>
          <w:rFonts w:ascii="Arial" w:cs="Arial" w:eastAsia="Arial" w:hAnsi="Arial"/>
          <w:sz w:val="22"/>
          <w:szCs w:val="22"/>
        </w:rPr>
        <w:t xml:space="preserve">Central System: ShopEase Churn Prevention Platform</w:t>
      </w:r>
    </w:p>
    <w:p>
      <w:pPr>
        <w:spacing w:before="60" w:after="80"/>
      </w:pPr>
      <w:r>
        <w:rPr>
          <w:rFonts w:ascii="Arial" w:cs="Arial" w:eastAsia="Arial" w:hAnsi="Arial"/>
          <w:sz w:val="22"/>
          <w:szCs w:val="22"/>
        </w:rPr>
        <w:t xml:space="preserve">Flows: Customer behavioral data IN → Platform; Risk-scored alerts OUT → CSM &amp; Marketing; Churn insights OUT → Executive; Retention emails OUT → Customer</w:t>
      </w:r>
    </w:p>
    <w:p>
      <w:pPr>
        <w:pStyle w:val="Heading2"/>
        <w:spacing w:before="240" w:after="120"/>
      </w:pPr>
      <w:r>
        <w:rPr>
          <w:rFonts w:ascii="Arial" w:cs="Arial" w:eastAsia="Arial" w:hAnsi="Arial"/>
          <w:b/>
          <w:bCs/>
          <w:color w:val="166534"/>
          <w:sz w:val="24"/>
          <w:szCs w:val="24"/>
        </w:rPr>
        <w:t xml:space="preserve">Level 1 — Main Processes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200"/>
        <w:gridCol w:w="2000"/>
        <w:gridCol w:w="2360"/>
      </w:tblGrid>
      <w:tr>
        <w:tc>
          <w:tcPr>
            <w:tcW w:type="dxa" w:w="8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Process #</w:t>
            </w:r>
          </w:p>
        </w:tc>
        <w:tc>
          <w:tcPr>
            <w:tcW w:type="dxa" w:w="2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Process Name</w:t>
            </w:r>
          </w:p>
        </w:tc>
        <w:tc>
          <w:tcPr>
            <w:tcW w:type="dxa" w:w="22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Inputs</w:t>
            </w:r>
          </w:p>
        </w:tc>
        <w:tc>
          <w:tcPr>
            <w:tcW w:type="dxa" w:w="20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Outputs</w:t>
            </w:r>
          </w:p>
        </w:tc>
        <w:tc>
          <w:tcPr>
            <w:tcW w:type="dxa" w:w="23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Data Store</w:t>
            </w:r>
          </w:p>
        </w:tc>
      </w:tr>
      <w:tr>
        <w:tc>
          <w:tcPr>
            <w:tcW w:type="dxa" w:w="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P1</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Collect Behavioral Events</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Purchase, login, support, email events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Validated event stream</w:t>
            </w:r>
          </w:p>
        </w:tc>
        <w:tc>
          <w:tcPr>
            <w:tcW w:type="dxa" w:w="2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DS1: event_raw</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 Behavioral Aggregates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event_raw (90-day window)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Customer feature vectors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DS2: customer_behavior</w:t>
            </w:r>
          </w:p>
        </w:tc>
      </w:tr>
      <w:tr>
        <w:tc>
          <w:tcPr>
            <w:tcW w:type="dxa" w:w="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P3</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Score Churn Risk</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Feature vectors + ML model</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Risk scores + factors</w:t>
            </w:r>
          </w:p>
        </w:tc>
        <w:tc>
          <w:tcPr>
            <w:tcW w:type="dxa" w:w="2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DS3: churn_risk_scores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Trigger Retention Campaigns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Score events (&gt;60)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Personalized emails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DS4: campaign_events</w:t>
            </w:r>
          </w:p>
        </w:tc>
      </w:tr>
      <w:tr>
        <w:tc>
          <w:tcPr>
            <w:tcW w:type="dxa" w:w="8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P5</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Support CSM Outreach</w:t>
            </w:r>
          </w:p>
        </w:tc>
        <w:tc>
          <w:tcPr>
            <w:tcW w:type="dxa" w:w="22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Risk scores + factors</w:t>
            </w:r>
          </w:p>
        </w:tc>
        <w:tc>
          <w:tcPr>
            <w:tcW w:type="dxa" w:w="20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Prioritized contact list + talking points</w:t>
            </w:r>
          </w:p>
        </w:tc>
        <w:tc>
          <w:tcPr>
            <w:tcW w:type="dxa" w:w="23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DS3 + DS5: outreach_log</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Generate Analytics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DS1-DS5</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Dashboards + monthly reports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DS6: analytics_mart</w:t>
            </w:r>
          </w:p>
        </w:tc>
      </w:tr>
    </w:tbl>
    <w:p>
      <w:pPr>
        <w:spacing w:before="200"/>
      </w:pPr>
    </w:p>
    <w:p>
      <w:pPr>
        <w:pStyle w:val="Heading1"/>
        <w:pBdr>
          <w:bottom w:val="single" w:color="14532D" w:sz="4" w:space="1"/>
        </w:pBdr>
        <w:spacing w:before="360" w:after="160"/>
      </w:pPr>
      <w:r>
        <w:rPr>
          <w:rFonts w:ascii="Arial" w:cs="Arial" w:eastAsia="Arial" w:hAnsi="Arial"/>
          <w:b/>
          <w:bCs/>
          <w:color w:val="14532D"/>
          <w:sz w:val="28"/>
          <w:szCs w:val="28"/>
        </w:rPr>
        <w:t xml:space="preserve">5. Error Handling &amp; Edge Cases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System Response</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Nightly scoring job fails</w:t>
            </w:r>
          </w:p>
        </w:tc>
        <w:tc>
          <w:tcPr>
            <w:tcW w:type="dxa" w:w="5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Alert sent to on-call Data Engineer via PagerDuty. Previous day's scores remain active. Dashboard shows 'Data may be delayed' banner.</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CRM sync API call fails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3 times with exponential backoff. If still failing, alert IT team. Log failed customer IDs for manual review.</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Customer has insufficient data (&lt;30 days history)</w:t>
            </w:r>
          </w:p>
        </w:tc>
        <w:tc>
          <w:tcPr>
            <w:tcW w:type="dxa" w:w="5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Excluded from ML scoring. Assigned default score of 50 (Medium). Flagged as 'Insufficient history' in risk_factors field.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HubSpot email send fails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 failure with error code. Retry after 1 hour. If second attempt fails, flag for manual marketing review. Do not retry a third time.</w:t>
            </w:r>
          </w:p>
        </w:tc>
      </w:tr>
      <w:tr>
        <w:tc>
          <w:tcPr>
            <w:tcW w:type="dxa" w:w="3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Customer unsubscribes during active campaign</w:t>
            </w:r>
          </w:p>
        </w:tc>
        <w:tc>
          <w:tcPr>
            <w:tcW w:type="dxa" w:w="5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All pending emails suppressed immediately. HubSpot contact updated within 10 minutes of unsubscribe event. Log suppression.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model AUC drops below 0.75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Alert to Data Science Slack channel + email. Model flagged as degraded. Manual review required before next scoring run.</w:t>
            </w:r>
          </w:p>
        </w:tc>
      </w:tr>
    </w:tbl>
    <w:p>
      <w:pPr>
        <w:spacing w:before="200"/>
      </w:pPr>
    </w:p>
    <w:p>
      <w:pPr>
        <w:pStyle w:val="Heading1"/>
        <w:pBdr>
          <w:bottom w:val="single" w:color="14532D" w:sz="4" w:space="1"/>
        </w:pBdr>
        <w:spacing w:before="360" w:after="160"/>
      </w:pPr>
      <w:r>
        <w:rPr>
          <w:rFonts w:ascii="Arial" w:cs="Arial" w:eastAsia="Arial" w:hAnsi="Arial"/>
          <w:b/>
          <w:bCs/>
          <w:color w:val="14532D"/>
          <w:sz w:val="28"/>
          <w:szCs w:val="28"/>
        </w:rPr>
        <w:t xml:space="preserve">6. Acceptance Criteria Summary</w:t>
      </w:r>
    </w:p>
    <w:p>
      <w:pPr>
        <w:pStyle w:val="ListParagraph"/>
        <w:numPr>
          <w:ilvl w:val="0"/>
          <w:numId w:val="2"/>
        </w:numPr>
        <w:spacing w:before="40" w:after="40"/>
      </w:pPr>
      <w:r>
        <w:rPr>
          <w:rFonts w:ascii="Arial" w:cs="Arial" w:eastAsia="Arial" w:hAnsi="Arial"/>
          <w:sz w:val="22"/>
          <w:szCs w:val="22"/>
        </w:rPr>
        <w:t xml:space="preserve">All FR-DP requirements tested with simulated event streams achieving &lt;15-min data latency</w:t>
      </w:r>
    </w:p>
    <w:p>
      <w:pPr>
        <w:pStyle w:val="ListParagraph"/>
        <w:numPr>
          <w:ilvl w:val="0"/>
          <w:numId w:val="2"/>
        </w:numPr>
        <w:spacing w:before="40" w:after="40"/>
      </w:pPr>
      <w:r>
        <w:rPr>
          <w:rFonts w:ascii="Arial" w:cs="Arial" w:eastAsia="Arial" w:hAnsi="Arial"/>
          <w:sz w:val="22"/>
          <w:szCs w:val="22"/>
        </w:rPr>
        <w:t xml:space="preserve">ML model achieves AUC &gt;= 0.80 on 20% holdout test set before production deployment</w:t>
      </w:r>
    </w:p>
    <w:p>
      <w:pPr>
        <w:pStyle w:val="ListParagraph"/>
        <w:numPr>
          <w:ilvl w:val="0"/>
          <w:numId w:val="2"/>
        </w:numPr>
        <w:spacing w:before="40" w:after="40"/>
      </w:pPr>
      <w:r>
        <w:rPr>
          <w:rFonts w:ascii="Arial" w:cs="Arial" w:eastAsia="Arial" w:hAnsi="Arial"/>
          <w:sz w:val="22"/>
          <w:szCs w:val="22"/>
        </w:rPr>
        <w:t xml:space="preserve">Risk Score API returns results in &lt;500ms for single customer queries and &lt;5 seconds for batch of 1,000</w:t>
      </w:r>
    </w:p>
    <w:p>
      <w:pPr>
        <w:pStyle w:val="ListParagraph"/>
        <w:numPr>
          <w:ilvl w:val="0"/>
          <w:numId w:val="2"/>
        </w:numPr>
        <w:spacing w:before="40" w:after="40"/>
      </w:pPr>
      <w:r>
        <w:rPr>
          <w:rFonts w:ascii="Arial" w:cs="Arial" w:eastAsia="Arial" w:hAnsi="Arial"/>
          <w:sz w:val="22"/>
          <w:szCs w:val="22"/>
        </w:rPr>
        <w:t xml:space="preserve">Campaign email triggered within 2 hours of threshold breach in load testing</w:t>
      </w:r>
    </w:p>
    <w:p>
      <w:pPr>
        <w:pStyle w:val="ListParagraph"/>
        <w:numPr>
          <w:ilvl w:val="0"/>
          <w:numId w:val="2"/>
        </w:numPr>
        <w:spacing w:before="40" w:after="40"/>
      </w:pPr>
      <w:r>
        <w:rPr>
          <w:rFonts w:ascii="Arial" w:cs="Arial" w:eastAsia="Arial" w:hAnsi="Arial"/>
          <w:sz w:val="22"/>
          <w:szCs w:val="22"/>
        </w:rPr>
        <w:t xml:space="preserve">Salesforce CRM sync completes for 250,000 contacts within 2-hour window</w:t>
      </w:r>
    </w:p>
    <w:p>
      <w:pPr>
        <w:pStyle w:val="ListParagraph"/>
        <w:numPr>
          <w:ilvl w:val="0"/>
          <w:numId w:val="2"/>
        </w:numPr>
        <w:spacing w:before="40" w:after="40"/>
      </w:pPr>
      <w:r>
        <w:rPr>
          <w:rFonts w:ascii="Arial" w:cs="Arial" w:eastAsia="Arial" w:hAnsi="Arial"/>
          <w:sz w:val="22"/>
          <w:szCs w:val="22"/>
        </w:rPr>
        <w:t xml:space="preserve">CSM dashboard loads within 5 seconds for 1,000 at-risk records</w:t>
      </w:r>
    </w:p>
    <w:p>
      <w:pPr>
        <w:pStyle w:val="ListParagraph"/>
        <w:numPr>
          <w:ilvl w:val="0"/>
          <w:numId w:val="2"/>
        </w:numPr>
        <w:spacing w:before="40" w:after="40"/>
      </w:pPr>
      <w:r>
        <w:rPr>
          <w:rFonts w:ascii="Arial" w:cs="Arial" w:eastAsia="Arial" w:hAnsi="Arial"/>
          <w:sz w:val="22"/>
          <w:szCs w:val="22"/>
        </w:rPr>
        <w:t xml:space="preserve">All error scenarios result in appropriate logging and alerting (no silent failures)</w:t>
      </w:r>
    </w:p>
    <w:p>
      <w:pPr>
        <w:pStyle w:val="Heading1"/>
        <w:pBdr>
          <w:bottom w:val="single" w:color="14532D" w:sz="4" w:space="1"/>
        </w:pBdr>
        <w:spacing w:before="360" w:after="160"/>
      </w:pPr>
      <w:r>
        <w:rPr>
          <w:rFonts w:ascii="Arial" w:cs="Arial" w:eastAsia="Arial" w:hAnsi="Arial"/>
          <w:b/>
          <w:bCs/>
          <w:color w:val="14532D"/>
          <w:sz w:val="28"/>
          <w:szCs w:val="28"/>
        </w:rPr>
        <w:t xml:space="preserve">7. Document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W w:type="dxa" w:w="25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5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50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1860"/>
            <w:tcBorders>
              <w:top w:val="single" w:color="CCCCCC" w:sz="1"/>
              <w:left w:val="single" w:color="CCCCCC" w:sz="1"/>
              <w:bottom w:val="single" w:color="CCCCCC" w:sz="1"/>
              <w:right w:val="single" w:color="CCCCCC" w:sz="1"/>
            </w:tcBorders>
            <w:shd w:fill="14532D"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Head of Data Science</w:t>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IT / Dev Lead</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Solution Architect</w:t>
            </w:r>
          </w:p>
        </w:tc>
        <w:tc>
          <w:tcPr>
            <w:tcW w:type="dxa" w:w="250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0FFF4" w:val="clear"/>
            <w:tcMar>
              <w:top w:type="dxa" w:w="80"/>
              <w:left w:type="dxa" w:w="120"/>
              <w:bottom w:type="dxa" w:w="80"/>
              <w:right w:type="dxa" w:w="120"/>
            </w:tcMar>
          </w:tcPr>
          <w:p>
            <w:r>
              <w:rPr>
                <w:rFonts w:ascii="Arial" w:cs="Arial" w:eastAsia="Arial" w:hAnsi="Arial"/>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Analyst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c>
          <w:tcPr>
            <w:tcW w:type="dxa" w:w="1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2026-03-08T20:14:27.374Z</dcterms:created>
  <dcterms:modified xsi:type="dcterms:W3CDTF">2026-03-08T20:14:27.374Z</dcterms:modified>
</cp:coreProperties>
</file>

<file path=docProps/custom.xml><?xml version="1.0" encoding="utf-8"?>
<Properties xmlns="http://schemas.openxmlformats.org/officeDocument/2006/custom-properties" xmlns:vt="http://schemas.openxmlformats.org/officeDocument/2006/docPropsVTypes"/>
</file>