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0"/>
        </w:rPr>
        <w:t>Practical Guide for Educators: Implementing AI Accessibility in Higher Education</w:t>
        <w:br/>
      </w:r>
    </w:p>
    <w:p>
      <w:pPr>
        <w:jc w:val="center"/>
      </w:pPr>
      <w:r>
        <w:rPr>
          <w:i/>
          <w:color w:val="4A5568"/>
          <w:sz w:val="24"/>
        </w:rPr>
        <w:t>Capstone 78 - Operational Manual &amp; Comprehensive Implementation Guide (1,000+ Words)</w:t>
        <w:br/>
      </w:r>
    </w:p>
    <w:p>
      <w:pPr>
        <w:spacing w:after="280"/>
      </w:pPr>
    </w:p>
    <w:p>
      <w:pPr>
        <w:spacing w:before="280" w:after="120"/>
      </w:pPr>
      <w:r>
        <w:rPr>
          <w:b/>
          <w:color w:val="1A365D"/>
          <w:sz w:val="30"/>
        </w:rPr>
        <w:t>1. Introduction &amp; Operational Context</w:t>
      </w:r>
    </w:p>
    <w:p>
      <w:r>
        <w:t>In the modern higher education landscape, digital course materials form the backbone of student learning. From slide decks and PDF syllabi to pre-recorded video lectures and interactive online quizzes, educational content must be accessible to all students, including those with visual, auditory, mobility, and cognitive impairments. However, traditional accessibility retrofitting—manually writing alternative text for hundreds of lecture diagrams, transcribing hours of audio recordings, and checking document heading structures—demands extensive labor and time. For educators managing full course loads, research responsibilities, and administrative duties, accessibility compliance is often perceived as an overwhelming barrier.</w:t>
      </w:r>
    </w:p>
    <w:p>
      <w:r>
        <w:t>This practical guide provides a comprehensive, scalable framework designed specifically for educators, instructional designers, and campus IT personnel. By leveraging free, accessible Artificial Intelligence (AI) tools—such as ChatGPT, Gemini, ElevenLabs, Live Captions, and NotebookLM—educators can automate up to 80% of routine accessibility tasks. This manual outlines a structured four-step workflow that ensures strict adherence to Web Content Accessibility Guidelines (WCAG 2.1 Level AA) while establishing a mandatory 'Human-in-the-Loop' (HITL) quality control protocol to eliminate technical errors and AI visual hallucinations.</w:t>
      </w:r>
    </w:p>
    <w:p>
      <w:pPr>
        <w:spacing w:before="280" w:after="120"/>
      </w:pPr>
      <w:r>
        <w:rPr>
          <w:b/>
          <w:color w:val="1A365D"/>
          <w:sz w:val="30"/>
        </w:rPr>
        <w:t>2. Core Principles of WCAG 2.1 AA for Educators</w:t>
      </w:r>
    </w:p>
    <w:p>
      <w:r>
        <w:t>Before executing automated AI tools, educators must understand the foundational principles governing digital accessibility. The WCAG 2.1 AA guidelines are organized around four essential pillars, commonly referred to as the POUR framework:</w:t>
      </w:r>
    </w:p>
    <w:p>
      <w:pPr>
        <w:pStyle w:val="ListBullet"/>
      </w:pPr>
      <w:r>
        <w:rPr>
          <w:b/>
        </w:rPr>
        <w:t xml:space="preserve">Perceivable Content: </w:t>
      </w:r>
      <w:r>
        <w:t>Educational information and visual interface elements must be rendered in ways that all learners can perceive. Text must have sufficient contrast (minimum 4.5:1 ratio), all non-text content (charts, figures, diagrams) must include meaningful alternative text, and audio/video media must feature synchronized captions.</w:t>
      </w:r>
    </w:p>
    <w:p>
      <w:pPr>
        <w:pStyle w:val="ListBullet"/>
      </w:pPr>
      <w:r>
        <w:rPr>
          <w:b/>
        </w:rPr>
        <w:t xml:space="preserve">Operable Navigation: </w:t>
      </w:r>
      <w:r>
        <w:t>Students must be able to navigate course websites, learning management systems (LMS), and digital media using diverse input methods, including full keyboard control (Tab and Arrow key navigation), without encountering trap focus or requiring precision mouse clicks.</w:t>
      </w:r>
    </w:p>
    <w:p>
      <w:pPr>
        <w:pStyle w:val="ListBullet"/>
      </w:pPr>
      <w:r>
        <w:rPr>
          <w:b/>
        </w:rPr>
        <w:t xml:space="preserve">Understandable Structure: </w:t>
      </w:r>
      <w:r>
        <w:t>Language, document navigation, and interactive elements must be consistent and intuitive. Heading structures (H1 through H3) must follow a strict, logical hierarchy to prevent confusion when interpreted by screen reader software.</w:t>
      </w:r>
    </w:p>
    <w:p>
      <w:pPr>
        <w:pStyle w:val="ListBullet"/>
      </w:pPr>
      <w:r>
        <w:rPr>
          <w:b/>
        </w:rPr>
        <w:t xml:space="preserve">Robust Compatibility: </w:t>
      </w:r>
      <w:r>
        <w:t>Digital materials must be constructed using standardized semantic markup so that current and future assistive technologies—such as NVDA, VoiceOver, and screen magnification tools—can reliably parse and articulate content.</w:t>
      </w:r>
    </w:p>
    <w:p>
      <w:pPr>
        <w:spacing w:before="280" w:after="120"/>
      </w:pPr>
      <w:r>
        <w:rPr>
          <w:b/>
          <w:color w:val="1A365D"/>
          <w:sz w:val="30"/>
        </w:rPr>
        <w:t>3. The 4-Step Practical Educator Workflow</w:t>
      </w:r>
    </w:p>
    <w:p>
      <w:r>
        <w:t>To integrate AI into everyday course preparation without sacrificing pedagogical rigor, educators should adopt the following step-by-step operational workflow:</w:t>
      </w:r>
    </w:p>
    <w:p>
      <w:pPr>
        <w:spacing w:before="280" w:after="120"/>
      </w:pPr>
      <w:r>
        <w:rPr>
          <w:b/>
          <w:color w:val="2B6CB0"/>
          <w:sz w:val="26"/>
        </w:rPr>
        <w:t>Step 1: Automated Baseline Drafting</w:t>
      </w:r>
    </w:p>
    <w:p>
      <w:r>
        <w:t>The first phase of the workflow utilizes generative AI platforms (such as ChatGPT or Gemini) and automated Python scripts to create initial baseline descriptions for complex visual assets. Instead of spending 10 to 15 minutes manually describing a single scientific diagram or historical map, the educator uploads the image or provides a structured prompt requesting a WCAG-compliant alt-text summary.</w:t>
      </w:r>
    </w:p>
    <w:p>
      <w:r>
        <w:t>Key Actionable Rule: The prompt must instruct the AI model to describe the object, purpose, and quantitative context of the image without using redundant phrases such as 'image of' or 'picture showing'. For example: 'Generate a 2-sentence alt-text for a labeled diagram of a plant cell emphasizing the mitochondria and chloroplast functions for a vision-impaired biology student.'</w:t>
      </w:r>
    </w:p>
    <w:p>
      <w:pPr>
        <w:spacing w:before="280" w:after="120"/>
      </w:pPr>
      <w:r>
        <w:rPr>
          <w:b/>
          <w:color w:val="2B6CB0"/>
          <w:sz w:val="26"/>
        </w:rPr>
        <w:t>Step 2: Human-in-the-Loop (HITL) Quality Review</w:t>
      </w:r>
    </w:p>
    <w:p>
      <w:r>
        <w:t>While modern Large Language Models excel at natural language synthesis, empirical benchmarking demonstrates that AI models exhibit an approximate 10% error rate on complex academic graphics, occasionally fabricating details (hallucinations) or misinterpreting mathematical formulas and domain-specific acronyms. Therefore, fully automated AI output must never be published directly to students.</w:t>
      </w:r>
    </w:p>
    <w:p>
      <w:r>
        <w:t>During Step 2, the educator performs a rapid 30-second audit of the generated alt-text against the source diagram. The educator verifies three critical elements: (1) Technical accuracy of terminology, (2) Elimination of visual hallucinations or invented labels, and (3) Pedagogical relevance to the specific lesson objectives.</w:t>
      </w:r>
    </w:p>
    <w:p>
      <w:pPr>
        <w:spacing w:before="280" w:after="120"/>
      </w:pPr>
      <w:r>
        <w:rPr>
          <w:b/>
          <w:color w:val="2B6CB0"/>
          <w:sz w:val="26"/>
        </w:rPr>
        <w:t>Step 3: Multi-Modal Learning Conversion</w:t>
      </w:r>
    </w:p>
    <w:p>
      <w:r>
        <w:t>Accessibility benefits all learners, not only those with registered disabilities. Step 3 focuses on transforming text-heavy materials into multi-modal learning assets. Written course summaries and reading guides are passed into AI Text-to-Speech (TTS) engines like ElevenLabs to produce high-fidelity, natural audio study guides for vision-impaired students or auditory learners commuting to campus.</w:t>
      </w:r>
    </w:p>
    <w:p>
      <w:r>
        <w:t>Simultaneously, during pre-recorded or live lecture streams, real-time speech-to-text tools (such as Windows Live Captions) are enabled to provide immediate, synchronized sub-titling for deaf or hard-of-hearing students, as well as English language learners.</w:t>
      </w:r>
    </w:p>
    <w:p>
      <w:pPr>
        <w:spacing w:before="280" w:after="120"/>
      </w:pPr>
      <w:r>
        <w:rPr>
          <w:b/>
          <w:color w:val="2B6CB0"/>
          <w:sz w:val="26"/>
        </w:rPr>
        <w:t>Step 4: Screen Reader Navigation &amp; Compliance Audit</w:t>
      </w:r>
    </w:p>
    <w:p>
      <w:r>
        <w:t>The final stage involves validating document structure using native screen reader software. Before distributing Word documents or PDFs, educators should test their files using built-in, free tools such as NVDA (for Windows) or VoiceOver (for macOS/iOS).</w:t>
      </w:r>
    </w:p>
    <w:p>
      <w:r>
        <w:t>The educator verifies that heading tags follow a strict sequential order (Heading 1 for document titles, Heading 2 for main sections, and Heading 3 for sub-sections), hyperlinks contain descriptive destination text (e.g., 'Download Biology Syllabus PDF' rather than 'Click Here'), and all tables feature explicit row and column headers.</w:t>
      </w:r>
    </w:p>
    <w:p>
      <w:pPr>
        <w:spacing w:before="280" w:after="120"/>
      </w:pPr>
      <w:r>
        <w:rPr>
          <w:b/>
          <w:color w:val="1A365D"/>
          <w:sz w:val="30"/>
        </w:rPr>
        <w:t>4. Prompt Engineering Templates for Educators</w:t>
      </w:r>
    </w:p>
    <w:p>
      <w:r>
        <w:t>To maximize the quality of AI-generated accessibility outputs, educators can copy, customize, and execute the following standardized prompt templates:</w:t>
      </w:r>
    </w:p>
    <w:p>
      <w:pPr>
        <w:spacing w:before="280" w:after="120"/>
      </w:pPr>
      <w:r>
        <w:rPr>
          <w:b/>
          <w:color w:val="2B6CB0"/>
          <w:sz w:val="26"/>
        </w:rPr>
        <w:t>Template A: Science &amp; Engineering Diagrams</w:t>
      </w:r>
    </w:p>
    <w:p>
      <w:pPr>
        <w:ind w:left="288" w:right="288"/>
      </w:pPr>
      <w:r>
        <w:rPr>
          <w:i/>
          <w:color w:val="2D3748"/>
        </w:rPr>
        <w:t>Prompt: 'Act as an expert accessibility consultant. Analyze the attached diagram of [Insert Subject/Topic]. Write a concise, WCAG 2.1 AA compliant alternative text description (under 150 words). Focus on the core relationships, arrows, and data trends shown in the figure. Do not include introductory filler words like "This image displays".'</w:t>
      </w:r>
    </w:p>
    <w:p>
      <w:pPr>
        <w:spacing w:before="280" w:after="120"/>
      </w:pPr>
      <w:r>
        <w:rPr>
          <w:b/>
          <w:color w:val="2B6CB0"/>
          <w:sz w:val="26"/>
        </w:rPr>
        <w:t>Template B: Complex Data Charts &amp; Graphs</w:t>
      </w:r>
    </w:p>
    <w:p>
      <w:pPr>
        <w:ind w:left="288" w:right="288"/>
      </w:pPr>
      <w:r>
        <w:rPr>
          <w:i/>
          <w:color w:val="2D3748"/>
        </w:rPr>
        <w:t>Prompt: 'Provide a structured textual summary of the attached bar graph showing [Insert Variables]. State the x-axis label, y-axis units, highest data point, lowest data point, and key overall trend. Ensure the summary can be read seamlessly by a screen reader.'</w:t>
      </w:r>
    </w:p>
    <w:p>
      <w:pPr>
        <w:spacing w:before="280" w:after="120"/>
      </w:pPr>
      <w:r>
        <w:rPr>
          <w:b/>
          <w:color w:val="2B6CB0"/>
          <w:sz w:val="26"/>
        </w:rPr>
        <w:t>Template C: Lecture Audio Summarization</w:t>
      </w:r>
    </w:p>
    <w:p>
      <w:pPr>
        <w:ind w:left="288" w:right="288"/>
      </w:pPr>
      <w:r>
        <w:rPr>
          <w:i/>
          <w:color w:val="2D3748"/>
        </w:rPr>
        <w:t>Prompt: 'Summarize the attached lecture transcript into a clear 5-point bulleted study guide. Use plain language, clear headings (H2 and H3), and define all technical terms immediately after introduction.'</w:t>
      </w:r>
    </w:p>
    <w:p>
      <w:pPr>
        <w:spacing w:before="280" w:after="120"/>
      </w:pPr>
      <w:r>
        <w:rPr>
          <w:b/>
          <w:color w:val="1A365D"/>
          <w:sz w:val="30"/>
        </w:rPr>
        <w:t>5. Ethical Framework &amp; Best Practices</w:t>
      </w:r>
    </w:p>
    <w:p>
      <w:r>
        <w:t>Implementing AI tools in educational accessibility brings ethical responsibilities. Educators and institutions must adhere to three core principles:</w:t>
      </w:r>
    </w:p>
    <w:p>
      <w:pPr>
        <w:pStyle w:val="ListBullet"/>
      </w:pPr>
      <w:r>
        <w:rPr>
          <w:b/>
        </w:rPr>
        <w:t xml:space="preserve">1. Student Data Privacy: </w:t>
      </w:r>
      <w:r>
        <w:t>Never upload student papers, personal information, or confidential grading records into public AI tools. Ensure all prompt inputs are strictly limited to general course materials and open-access graphics.</w:t>
      </w:r>
    </w:p>
    <w:p>
      <w:pPr>
        <w:pStyle w:val="ListBullet"/>
      </w:pPr>
      <w:r>
        <w:rPr>
          <w:b/>
        </w:rPr>
        <w:t xml:space="preserve">2. Student Co-Design &amp; Feedback: </w:t>
      </w:r>
      <w:r>
        <w:t>Regularly consult students with lived disability experiences to evaluate whether generated alt-text and audio media meet their practical learning needs. Technology should empower, not dictate.</w:t>
      </w:r>
    </w:p>
    <w:p>
      <w:pPr>
        <w:pStyle w:val="ListBullet"/>
      </w:pPr>
      <w:r>
        <w:rPr>
          <w:b/>
        </w:rPr>
        <w:t xml:space="preserve">3. Open Access &amp; Universal Design: </w:t>
      </w:r>
      <w:r>
        <w:t>Design course content from the outset using Universal Design for Learning (UDL) principles, making materials accessible to everyone by default rather than as an afterthought.</w:t>
      </w:r>
    </w:p>
    <w:p>
      <w:pPr>
        <w:spacing w:before="280" w:after="120"/>
      </w:pPr>
      <w:r>
        <w:rPr>
          <w:b/>
          <w:color w:val="1A365D"/>
          <w:sz w:val="30"/>
        </w:rPr>
        <w:t>6. Summary &amp; Action Steps Checklist</w:t>
      </w:r>
    </w:p>
    <w:p>
      <w:r>
        <w:t>By adopting this practical guide, educators can dramatically reduce the time needed to build accessible courses while maintaining the highest standards of pedagogical excellence and regulatory compliance. Prior to launching any new course module, complete this 4-point action check:</w:t>
      </w:r>
    </w:p>
    <w:p>
      <w:pPr>
        <w:pStyle w:val="ListBullet"/>
      </w:pPr>
      <w:r>
        <w:t>[X] Run AI prompt scripts to generate draft alt-text for all figures and diagrams.</w:t>
      </w:r>
    </w:p>
    <w:p>
      <w:pPr>
        <w:pStyle w:val="ListBullet"/>
      </w:pPr>
      <w:r>
        <w:t>[X] Perform Human-in-the-Loop review to correct terminology and eliminate hallucinations.</w:t>
      </w:r>
    </w:p>
    <w:p>
      <w:pPr>
        <w:pStyle w:val="ListBullet"/>
      </w:pPr>
      <w:r>
        <w:t>[X] Verify 4.5:1 color contrast and H1-H3 document heading structures.</w:t>
      </w:r>
    </w:p>
    <w:p>
      <w:pPr>
        <w:pStyle w:val="ListBullet"/>
      </w:pPr>
      <w:r>
        <w:t>[X] Test document navigation with NVDA or VoiceOver screen reader.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