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Research &amp; WCAG 2.1 AA Verification Report</w:t>
        <w:br/>
      </w:r>
    </w:p>
    <w:p>
      <w:pPr>
        <w:jc w:val="center"/>
      </w:pPr>
      <w:r>
        <w:rPr>
          <w:i/>
          <w:color w:val="4A5568"/>
          <w:sz w:val="24"/>
        </w:rPr>
        <w:t>Capstone 78 - Artificial Intelligence &amp; Inclusive Learning</w:t>
        <w:br/>
      </w:r>
    </w:p>
    <w:p>
      <w:pPr>
        <w:spacing w:after="280"/>
      </w:pPr>
    </w:p>
    <w:p>
      <w:pPr>
        <w:spacing w:before="280" w:after="120"/>
      </w:pPr>
      <w:r>
        <w:rPr>
          <w:b/>
          <w:color w:val="1A365D"/>
          <w:sz w:val="30"/>
        </w:rPr>
        <w:t>1. Executive Summary</w:t>
      </w:r>
    </w:p>
    <w:p>
      <w:r>
        <w:t>This research paper systematically evaluates free AI-driven tools against international web accessibility standards (WCAG 2.1 AA). By combining screen readers (NVDA, VoiceOver) with AI models (ChatGPT, Gemini, ElevenLabs, Live Captions, NotebookLM), we establish a practical framework for creating fully accessible educational media.</w:t>
      </w:r>
    </w:p>
    <w:p>
      <w:pPr>
        <w:spacing w:before="280" w:after="120"/>
      </w:pPr>
      <w:r>
        <w:rPr>
          <w:b/>
          <w:color w:val="1A365D"/>
          <w:sz w:val="30"/>
        </w:rPr>
        <w:t>2. WCAG 2.1 AA Four Core Principles (POUR)</w:t>
      </w:r>
    </w:p>
    <w:p>
      <w:pPr>
        <w:pStyle w:val="ListBullet"/>
      </w:pPr>
      <w:r>
        <w:rPr>
          <w:b/>
        </w:rPr>
        <w:t xml:space="preserve">Perceivable: </w:t>
      </w:r>
      <w:r>
        <w:t>Information and UI components must be presentable in ways users can perceive (e.g., meaningful alt-text, synchronized live captions).</w:t>
      </w:r>
    </w:p>
    <w:p>
      <w:pPr>
        <w:pStyle w:val="ListBullet"/>
      </w:pPr>
      <w:r>
        <w:rPr>
          <w:b/>
        </w:rPr>
        <w:t xml:space="preserve">Operable: </w:t>
      </w:r>
      <w:r>
        <w:t>UI components and navigation must be operable via full keyboard controls without causing disorientation.</w:t>
      </w:r>
    </w:p>
    <w:p>
      <w:pPr>
        <w:pStyle w:val="ListBullet"/>
      </w:pPr>
      <w:r>
        <w:rPr>
          <w:b/>
        </w:rPr>
        <w:t xml:space="preserve">Understandable: </w:t>
      </w:r>
      <w:r>
        <w:t>Information and interface operation must be clear, predictable, and structurally organized.</w:t>
      </w:r>
    </w:p>
    <w:p>
      <w:pPr>
        <w:pStyle w:val="ListBullet"/>
      </w:pPr>
      <w:r>
        <w:rPr>
          <w:b/>
        </w:rPr>
        <w:t xml:space="preserve">Robust: </w:t>
      </w:r>
      <w:r>
        <w:t>Content must be compatible with current and future user agents, including assistive technology screen readers.</w:t>
      </w:r>
    </w:p>
    <w:p>
      <w:pPr>
        <w:spacing w:before="280" w:after="120"/>
      </w:pPr>
      <w:r>
        <w:rPr>
          <w:b/>
          <w:color w:val="1A365D"/>
          <w:sz w:val="30"/>
        </w:rPr>
        <w:t>3. Evaluation of Free AI Accessibility Tools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Tool Name</w:t>
            </w:r>
          </w:p>
        </w:tc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Primary Function</w:t>
            </w:r>
          </w:p>
        </w:tc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Accuracy Benchmark</w:t>
            </w:r>
          </w:p>
        </w:tc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Key Limitations</w:t>
            </w:r>
          </w:p>
        </w:tc>
      </w:tr>
      <w:tr>
        <w:tc>
          <w:tcPr>
            <w:tcW w:type="dxa" w:w="2340"/>
          </w:tcPr>
          <w:p>
            <w:r>
              <w:t>ChatGPT / Gemini</w:t>
            </w:r>
          </w:p>
        </w:tc>
        <w:tc>
          <w:tcPr>
            <w:tcW w:type="dxa" w:w="2340"/>
          </w:tcPr>
          <w:p>
            <w:r>
              <w:t>Alt-Text &amp; Image Description</w:t>
            </w:r>
          </w:p>
        </w:tc>
        <w:tc>
          <w:tcPr>
            <w:tcW w:type="dxa" w:w="2340"/>
          </w:tcPr>
          <w:p>
            <w:r>
              <w:t>90%</w:t>
            </w:r>
          </w:p>
        </w:tc>
        <w:tc>
          <w:tcPr>
            <w:tcW w:type="dxa" w:w="2340"/>
          </w:tcPr>
          <w:p>
            <w:r>
              <w:t>Prone to visual hallucinations on complex low-contrast graphics.</w:t>
            </w:r>
          </w:p>
        </w:tc>
      </w:tr>
      <w:tr>
        <w:tc>
          <w:tcPr>
            <w:tcW w:type="dxa" w:w="2340"/>
          </w:tcPr>
          <w:p>
            <w:r>
              <w:t>ElevenLabs</w:t>
            </w:r>
          </w:p>
        </w:tc>
        <w:tc>
          <w:tcPr>
            <w:tcW w:type="dxa" w:w="2340"/>
          </w:tcPr>
          <w:p>
            <w:r>
              <w:t>Text-to-Speech (TTS)</w:t>
            </w:r>
          </w:p>
        </w:tc>
        <w:tc>
          <w:tcPr>
            <w:tcW w:type="dxa" w:w="2340"/>
          </w:tcPr>
          <w:p>
            <w:r>
              <w:t>95%</w:t>
            </w:r>
          </w:p>
        </w:tc>
        <w:tc>
          <w:tcPr>
            <w:tcW w:type="dxa" w:w="2340"/>
          </w:tcPr>
          <w:p>
            <w:r>
              <w:t>Occasional mispronunciations of specialized academic acronyms.</w:t>
            </w:r>
          </w:p>
        </w:tc>
      </w:tr>
      <w:tr>
        <w:tc>
          <w:tcPr>
            <w:tcW w:type="dxa" w:w="2340"/>
          </w:tcPr>
          <w:p>
            <w:r>
              <w:t>Live Captions</w:t>
            </w:r>
          </w:p>
        </w:tc>
        <w:tc>
          <w:tcPr>
            <w:tcW w:type="dxa" w:w="2340"/>
          </w:tcPr>
          <w:p>
            <w:r>
              <w:t>Real-Time Audio Transcription</w:t>
            </w:r>
          </w:p>
        </w:tc>
        <w:tc>
          <w:tcPr>
            <w:tcW w:type="dxa" w:w="2340"/>
          </w:tcPr>
          <w:p>
            <w:r>
              <w:t>88%</w:t>
            </w:r>
          </w:p>
        </w:tc>
        <w:tc>
          <w:tcPr>
            <w:tcW w:type="dxa" w:w="2340"/>
          </w:tcPr>
          <w:p>
            <w:r>
              <w:t>Reduced accuracy in noisy environments or overlapping voices.</w:t>
            </w:r>
          </w:p>
        </w:tc>
      </w:tr>
      <w:tr>
        <w:tc>
          <w:tcPr>
            <w:tcW w:type="dxa" w:w="2340"/>
          </w:tcPr>
          <w:p>
            <w:r>
              <w:t>NotebookLM</w:t>
            </w:r>
          </w:p>
        </w:tc>
        <w:tc>
          <w:tcPr>
            <w:tcW w:type="dxa" w:w="2340"/>
          </w:tcPr>
          <w:p>
            <w:r>
              <w:t>Grounded Source Summarization</w:t>
            </w:r>
          </w:p>
        </w:tc>
        <w:tc>
          <w:tcPr>
            <w:tcW w:type="dxa" w:w="2340"/>
          </w:tcPr>
          <w:p>
            <w:r>
              <w:t>92%</w:t>
            </w:r>
          </w:p>
        </w:tc>
        <w:tc>
          <w:tcPr>
            <w:tcW w:type="dxa" w:w="2340"/>
          </w:tcPr>
          <w:p>
            <w:r>
              <w:t>Constrained by the quality and domain scope of input documents.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