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SIMULATED AUDIT REPORT</w:t>
      </w:r>
    </w:p>
    <w:p>
      <w:pPr>
        <w:jc w:val="center"/>
      </w:pPr>
      <w:r>
        <w:rPr>
          <w:b/>
          <w:sz w:val="32"/>
        </w:rPr>
        <w:t>Meridian Trading Ltd</w:t>
      </w:r>
    </w:p>
    <w:p>
      <w:pPr>
        <w:jc w:val="center"/>
      </w:pPr>
      <w:r>
        <w:rPr>
          <w:i/>
          <w:sz w:val="24"/>
        </w:rPr>
        <w:t>Audit Working Papers Project</w:t>
      </w:r>
    </w:p>
    <w:p>
      <w:pPr>
        <w:jc w:val="center"/>
      </w:pPr>
      <w:r>
        <w:rPr>
          <w:b/>
          <w:sz w:val="20"/>
        </w:rPr>
        <w:t>Fictional / Simulated Engagement – Not an Actual Audit Report</w:t>
      </w:r>
    </w:p>
    <w:p/>
    <w:p>
      <w:pPr>
        <w:pStyle w:val="Heading1"/>
      </w:pPr>
      <w:r>
        <w:t>1. Executive Summary</w:t>
      </w:r>
    </w:p>
    <w:p>
      <w:r>
        <w:t>This document summarises a simulated audit engagement for Meridian Trading Ltd. The project follows an end-to-end audit working-paper approach covering planning, materiality, risk assessment, controls testing, substantive testing, lead schedules, completion and conclusions. The engagement is fictional and is prepared for learning and portfolio purposes; it is not an audit opinion or a report issued to a real client.</w:t>
      </w:r>
    </w:p>
    <w:p>
      <w:r>
        <w:t>The working papers are organised around the audit workflow: understand the business, set materiality, assess risks, plan responses, perform testing and conclude.</w:t>
      </w:r>
    </w:p>
    <w:p>
      <w:pPr>
        <w:pStyle w:val="Heading1"/>
      </w:pPr>
      <w:r>
        <w:t>2. Engagement Overview</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Details</w:t>
            </w:r>
          </w:p>
        </w:tc>
      </w:tr>
      <w:tr>
        <w:tc>
          <w:tcPr>
            <w:tcW w:type="dxa" w:w="4968"/>
            <w:vAlign w:val="center"/>
          </w:tcPr>
          <w:p>
            <w:r>
              <w:t>Entity</w:t>
            </w:r>
          </w:p>
        </w:tc>
        <w:tc>
          <w:tcPr>
            <w:tcW w:type="dxa" w:w="4968"/>
            <w:vAlign w:val="center"/>
          </w:tcPr>
          <w:p>
            <w:r>
              <w:t>Meridian Trading Ltd</w:t>
            </w:r>
          </w:p>
        </w:tc>
      </w:tr>
      <w:tr>
        <w:tc>
          <w:tcPr>
            <w:tcW w:type="dxa" w:w="4968"/>
            <w:vAlign w:val="center"/>
          </w:tcPr>
          <w:p>
            <w:r>
              <w:t>Engagement type</w:t>
            </w:r>
          </w:p>
        </w:tc>
        <w:tc>
          <w:tcPr>
            <w:tcW w:type="dxa" w:w="4968"/>
            <w:vAlign w:val="center"/>
          </w:tcPr>
          <w:p>
            <w:r>
              <w:t>Fictional / simulated audit engagement</w:t>
            </w:r>
          </w:p>
        </w:tc>
      </w:tr>
      <w:tr>
        <w:tc>
          <w:tcPr>
            <w:tcW w:type="dxa" w:w="4968"/>
            <w:vAlign w:val="center"/>
          </w:tcPr>
          <w:p>
            <w:r>
              <w:t>Period end</w:t>
            </w:r>
          </w:p>
        </w:tc>
        <w:tc>
          <w:tcPr>
            <w:tcW w:type="dxa" w:w="4968"/>
            <w:vAlign w:val="center"/>
          </w:tcPr>
          <w:p>
            <w:r>
              <w:t>30 June</w:t>
            </w:r>
          </w:p>
        </w:tc>
      </w:tr>
      <w:tr>
        <w:tc>
          <w:tcPr>
            <w:tcW w:type="dxa" w:w="4968"/>
            <w:vAlign w:val="center"/>
          </w:tcPr>
          <w:p>
            <w:r>
              <w:t>Working paper basis</w:t>
            </w:r>
          </w:p>
        </w:tc>
        <w:tc>
          <w:tcPr>
            <w:tcW w:type="dxa" w:w="4968"/>
            <w:vAlign w:val="center"/>
          </w:tcPr>
          <w:p>
            <w:r>
              <w:t>Audit planning, risk, controls, substantive testing and completion</w:t>
            </w:r>
          </w:p>
        </w:tc>
      </w:tr>
      <w:tr>
        <w:tc>
          <w:tcPr>
            <w:tcW w:type="dxa" w:w="4968"/>
            <w:vAlign w:val="center"/>
          </w:tcPr>
          <w:p>
            <w:r>
              <w:t>Prepared by</w:t>
            </w:r>
          </w:p>
        </w:tc>
        <w:tc>
          <w:tcPr>
            <w:tcW w:type="dxa" w:w="4968"/>
            <w:vAlign w:val="center"/>
          </w:tcPr>
          <w:p>
            <w:r>
              <w:t>Audit Team</w:t>
            </w:r>
          </w:p>
        </w:tc>
      </w:tr>
      <w:tr>
        <w:tc>
          <w:tcPr>
            <w:tcW w:type="dxa" w:w="4968"/>
            <w:vAlign w:val="center"/>
          </w:tcPr>
          <w:p>
            <w:r>
              <w:t>Review role</w:t>
            </w:r>
          </w:p>
        </w:tc>
        <w:tc>
          <w:tcPr>
            <w:tcW w:type="dxa" w:w="4968"/>
            <w:vAlign w:val="center"/>
          </w:tcPr>
          <w:p>
            <w:r>
              <w:t>Manager</w:t>
            </w:r>
          </w:p>
        </w:tc>
      </w:tr>
    </w:tbl>
    <w:p>
      <w:pPr>
        <w:pStyle w:val="Heading1"/>
      </w:pPr>
      <w:r>
        <w:t>3. Audit Planning</w:t>
      </w:r>
    </w:p>
    <w:p>
      <w:r>
        <w:t>The planning stage establishes the audit objectives, obtains an understanding of the business and identifies areas requiring audit attention. The working papers include engagement details, company background, audit objectives, materiality, preliminary risks and the overall audit strategy.</w:t>
      </w:r>
    </w:p>
    <w:p>
      <w:pPr>
        <w:pStyle w:val="ListBullet"/>
      </w:pPr>
      <w:r>
        <w:t>Financial statement audit objective with a risk-focused approach.</w:t>
      </w:r>
    </w:p>
    <w:p>
      <w:pPr>
        <w:pStyle w:val="ListBullet"/>
      </w:pPr>
      <w:r>
        <w:t>Audit procedures are linked to relevant financial statement assertions.</w:t>
      </w:r>
    </w:p>
    <w:p>
      <w:pPr>
        <w:pStyle w:val="ListBullet"/>
      </w:pPr>
      <w:r>
        <w:t>The principal assertions used are existence, completeness, valuation, rights and obligations, and cut-off.</w:t>
      </w:r>
    </w:p>
    <w:p>
      <w:pPr>
        <w:pStyle w:val="ListBullet"/>
      </w:pPr>
      <w:r>
        <w:t>The strategy progresses from planning and risk assessment to controls testing, substantive testing and completion.</w:t>
      </w:r>
    </w:p>
    <w:p>
      <w:pPr>
        <w:pStyle w:val="Heading1"/>
      </w:pPr>
      <w:r>
        <w:t>4. Materiality</w:t>
      </w:r>
    </w:p>
    <w:p>
      <w:r>
        <w:t>For the simulated engagement, profit before tax (PBT) of £1.2 million is used as the illustrative benchmark. Applying a 5% benchmark gives overall materiality of £60,000. Performance materiality is set at £45,000, representing 75% of overall materiality.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Materiality Measure</w:t>
            </w:r>
          </w:p>
        </w:tc>
        <w:tc>
          <w:tcPr>
            <w:tcW w:type="dxa" w:w="3312"/>
          </w:tcPr>
          <w:p>
            <w:r>
              <w:rPr>
                <w:b/>
              </w:rPr>
              <w:t>Basis</w:t>
            </w:r>
          </w:p>
        </w:tc>
        <w:tc>
          <w:tcPr>
            <w:tcW w:type="dxa" w:w="3312"/>
          </w:tcPr>
          <w:p>
            <w:r>
              <w:rPr>
                <w:b/>
              </w:rPr>
              <w:t>Amount</w:t>
            </w:r>
          </w:p>
        </w:tc>
      </w:tr>
      <w:tr>
        <w:tc>
          <w:tcPr>
            <w:tcW w:type="dxa" w:w="3312"/>
            <w:vAlign w:val="center"/>
          </w:tcPr>
          <w:p>
            <w:r>
              <w:t>Profit before tax</w:t>
            </w:r>
          </w:p>
        </w:tc>
        <w:tc>
          <w:tcPr>
            <w:tcW w:type="dxa" w:w="3312"/>
            <w:vAlign w:val="center"/>
          </w:tcPr>
          <w:p>
            <w:r>
              <w:t>Illustrative benchmark</w:t>
            </w:r>
          </w:p>
        </w:tc>
        <w:tc>
          <w:tcPr>
            <w:tcW w:type="dxa" w:w="3312"/>
            <w:vAlign w:val="center"/>
          </w:tcPr>
          <w:p>
            <w:r>
              <w:t>£1,200,000</w:t>
            </w:r>
          </w:p>
        </w:tc>
      </w:tr>
      <w:tr>
        <w:tc>
          <w:tcPr>
            <w:tcW w:type="dxa" w:w="3312"/>
            <w:vAlign w:val="center"/>
          </w:tcPr>
          <w:p>
            <w:r>
              <w:t>Overall materiality</w:t>
            </w:r>
          </w:p>
        </w:tc>
        <w:tc>
          <w:tcPr>
            <w:tcW w:type="dxa" w:w="3312"/>
            <w:vAlign w:val="center"/>
          </w:tcPr>
          <w:p>
            <w:r>
              <w:t>5% of PBT</w:t>
            </w:r>
          </w:p>
        </w:tc>
        <w:tc>
          <w:tcPr>
            <w:tcW w:type="dxa" w:w="3312"/>
            <w:vAlign w:val="center"/>
          </w:tcPr>
          <w:p>
            <w:r>
              <w:t>£60,000</w:t>
            </w:r>
          </w:p>
        </w:tc>
      </w:tr>
      <w:tr>
        <w:tc>
          <w:tcPr>
            <w:tcW w:type="dxa" w:w="3312"/>
            <w:vAlign w:val="center"/>
          </w:tcPr>
          <w:p>
            <w:r>
              <w:t>Performance materiality</w:t>
            </w:r>
          </w:p>
        </w:tc>
        <w:tc>
          <w:tcPr>
            <w:tcW w:type="dxa" w:w="3312"/>
            <w:vAlign w:val="center"/>
          </w:tcPr>
          <w:p>
            <w:r>
              <w:t>75% of overall materiality</w:t>
            </w:r>
          </w:p>
        </w:tc>
        <w:tc>
          <w:tcPr>
            <w:tcW w:type="dxa" w:w="3312"/>
            <w:vAlign w:val="center"/>
          </w:tcPr>
          <w:p>
            <w:r>
              <w:t>£45,000</w:t>
            </w:r>
          </w:p>
        </w:tc>
      </w:tr>
    </w:tbl>
    <w:p>
      <w:pPr>
        <w:pStyle w:val="Heading1"/>
      </w:pPr>
      <w:r>
        <w:t>5. Risk Assessment</w:t>
      </w:r>
    </w:p>
    <w:p>
      <w:r>
        <w:t>The risk assessment identifies areas where material misstatement could arise and links each risk to assertions and planned audit responses.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Risk Area</w:t>
            </w:r>
          </w:p>
        </w:tc>
        <w:tc>
          <w:tcPr>
            <w:tcW w:type="dxa" w:w="3312"/>
          </w:tcPr>
          <w:p>
            <w:r>
              <w:rPr>
                <w:b/>
              </w:rPr>
              <w:t>Risk Level</w:t>
            </w:r>
          </w:p>
        </w:tc>
        <w:tc>
          <w:tcPr>
            <w:tcW w:type="dxa" w:w="3312"/>
          </w:tcPr>
          <w:p>
            <w:r>
              <w:rPr>
                <w:b/>
              </w:rPr>
              <w:t>Illustrative Audit Response</w:t>
            </w:r>
          </w:p>
        </w:tc>
      </w:tr>
      <w:tr>
        <w:tc>
          <w:tcPr>
            <w:tcW w:type="dxa" w:w="3312"/>
            <w:vAlign w:val="center"/>
          </w:tcPr>
          <w:p>
            <w:r>
              <w:t>Revenue recognition</w:t>
            </w:r>
          </w:p>
        </w:tc>
        <w:tc>
          <w:tcPr>
            <w:tcW w:type="dxa" w:w="3312"/>
            <w:vAlign w:val="center"/>
          </w:tcPr>
          <w:p>
            <w:r>
              <w:t>High</w:t>
            </w:r>
          </w:p>
        </w:tc>
        <w:tc>
          <w:tcPr>
            <w:tcW w:type="dxa" w:w="3312"/>
            <w:vAlign w:val="center"/>
          </w:tcPr>
          <w:p>
            <w:r>
              <w:t>Cut-off testing and analytical review; revenue recognition is treated as a presumed fraud risk under ISA 240 in the project.</w:t>
            </w:r>
          </w:p>
        </w:tc>
      </w:tr>
      <w:tr>
        <w:tc>
          <w:tcPr>
            <w:tcW w:type="dxa" w:w="3312"/>
            <w:vAlign w:val="center"/>
          </w:tcPr>
          <w:p>
            <w:r>
              <w:t>Inventory valuation</w:t>
            </w:r>
          </w:p>
        </w:tc>
        <w:tc>
          <w:tcPr>
            <w:tcW w:type="dxa" w:w="3312"/>
            <w:vAlign w:val="center"/>
          </w:tcPr>
          <w:p>
            <w:r>
              <w:t>High</w:t>
            </w:r>
          </w:p>
        </w:tc>
        <w:tc>
          <w:tcPr>
            <w:tcW w:type="dxa" w:w="3312"/>
            <w:vAlign w:val="center"/>
          </w:tcPr>
          <w:p>
            <w:r>
              <w:t>Attend/consider inventory count procedures and test costing and net realisable value considerations.</w:t>
            </w:r>
          </w:p>
        </w:tc>
      </w:tr>
      <w:tr>
        <w:tc>
          <w:tcPr>
            <w:tcW w:type="dxa" w:w="3312"/>
            <w:vAlign w:val="center"/>
          </w:tcPr>
          <w:p>
            <w:r>
              <w:t>Management estimates</w:t>
            </w:r>
          </w:p>
        </w:tc>
        <w:tc>
          <w:tcPr>
            <w:tcW w:type="dxa" w:w="3312"/>
            <w:vAlign w:val="center"/>
          </w:tcPr>
          <w:p>
            <w:r>
              <w:t>Medium</w:t>
            </w:r>
          </w:p>
        </w:tc>
        <w:tc>
          <w:tcPr>
            <w:tcW w:type="dxa" w:w="3312"/>
            <w:vAlign w:val="center"/>
          </w:tcPr>
          <w:p>
            <w:r>
              <w:t>Challenge assumptions and obtain supporting evidence; consider possible management bias.</w:t>
            </w:r>
          </w:p>
        </w:tc>
      </w:tr>
    </w:tbl>
    <w:p>
      <w:pPr>
        <w:pStyle w:val="Heading1"/>
      </w:pPr>
      <w:r>
        <w:t>6. Controls Testing</w:t>
      </w:r>
    </w:p>
    <w:p>
      <w:r>
        <w:t>The controls workpaper assesses whether selected controls are designed and operating as intended. The project includes controls relating to revenue authorisation, year-end cut-off, inventory count/costing and review of management estimates.</w:t>
      </w:r>
    </w:p>
    <w:p>
      <w:r>
        <w:t>Controls testing is distinguished from substantive testing: controls testing considers whether the control operates effectively, while substantive testing focuses on whether the recorded financial statement amounts and transactions are appropriate.</w:t>
      </w:r>
    </w:p>
    <w:p>
      <w:pPr>
        <w:pStyle w:val="Heading1"/>
      </w:pPr>
      <w:r>
        <w:t>7. Substantive Testing</w:t>
      </w:r>
    </w:p>
    <w:p>
      <w:r>
        <w:t>Substantive procedures are organised into revenue, payables, cash, inventory and other testing sections. The procedures are designed to obtain evidence over the relevant assertions and investigate exceptions or unusual items.</w:t>
      </w:r>
    </w:p>
    <w:p>
      <w:pPr>
        <w:pStyle w:val="ListBullet"/>
      </w:pPr>
      <w:r>
        <w:t>Revenue: test selected transactions and focus on cut-off and supporting evidence.</w:t>
      </w:r>
    </w:p>
    <w:p>
      <w:pPr>
        <w:pStyle w:val="ListBullet"/>
      </w:pPr>
      <w:r>
        <w:t>Payables: test selected balances/transactions and consider completeness and cut-off.</w:t>
      </w:r>
    </w:p>
    <w:p>
      <w:pPr>
        <w:pStyle w:val="ListBullet"/>
      </w:pPr>
      <w:r>
        <w:t>Cash: agree balances to supporting bank evidence and investigate reconciling items.</w:t>
      </w:r>
    </w:p>
    <w:p>
      <w:pPr>
        <w:pStyle w:val="ListBullet"/>
      </w:pPr>
      <w:r>
        <w:t>Inventory: test quantities/costing and valuation-related evidence.</w:t>
      </w:r>
    </w:p>
    <w:p>
      <w:pPr>
        <w:pStyle w:val="ListBullet"/>
      </w:pPr>
      <w:r>
        <w:t>Other balances: perform relevant substantive procedures based on the assessed risk.</w:t>
      </w:r>
    </w:p>
    <w:p>
      <w:r>
        <w:t>The project contains an illustrative £14,000 transfer dated 30 June that requires a cut-off test and cross-reference to working paper F3. This is a review point in the simulated file rather than evidence of an actual client transaction.</w:t>
      </w:r>
    </w:p>
    <w:p>
      <w:pPr>
        <w:pStyle w:val="Heading1"/>
      </w:pPr>
      <w:r>
        <w:t>8. Lead Schedule Conclusions</w:t>
      </w:r>
    </w:p>
    <w:p>
      <w:r>
        <w:t>Lead schedules provide a structured bridge between trial-balance amounts, audited amounts, differences and supporting working-paper references. The project includes lead schedules for revenue, payables, cash and inventory.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Lead Schedule</w:t>
            </w:r>
          </w:p>
        </w:tc>
        <w:tc>
          <w:tcPr>
            <w:tcW w:type="dxa" w:w="4968"/>
          </w:tcPr>
          <w:p>
            <w:r>
              <w:rPr>
                <w:b/>
              </w:rPr>
              <w:t>Purpose</w:t>
            </w:r>
          </w:p>
        </w:tc>
      </w:tr>
      <w:tr>
        <w:tc>
          <w:tcPr>
            <w:tcW w:type="dxa" w:w="4968"/>
            <w:vAlign w:val="center"/>
          </w:tcPr>
          <w:p>
            <w:r>
              <w:t>Revenue</w:t>
            </w:r>
          </w:p>
        </w:tc>
        <w:tc>
          <w:tcPr>
            <w:tcW w:type="dxa" w:w="4968"/>
            <w:vAlign w:val="center"/>
          </w:tcPr>
          <w:p>
            <w:r>
              <w:t>Summarise balance and link substantive testing to supporting evidence.</w:t>
            </w:r>
          </w:p>
        </w:tc>
      </w:tr>
      <w:tr>
        <w:tc>
          <w:tcPr>
            <w:tcW w:type="dxa" w:w="4968"/>
            <w:vAlign w:val="center"/>
          </w:tcPr>
          <w:p>
            <w:r>
              <w:t>Payables</w:t>
            </w:r>
          </w:p>
        </w:tc>
        <w:tc>
          <w:tcPr>
            <w:tcW w:type="dxa" w:w="4968"/>
            <w:vAlign w:val="center"/>
          </w:tcPr>
          <w:p>
            <w:r>
              <w:t>Reconcile the balance and link testing to supporting work.</w:t>
            </w:r>
          </w:p>
        </w:tc>
      </w:tr>
      <w:tr>
        <w:tc>
          <w:tcPr>
            <w:tcW w:type="dxa" w:w="4968"/>
            <w:vAlign w:val="center"/>
          </w:tcPr>
          <w:p>
            <w:r>
              <w:t>Cash</w:t>
            </w:r>
          </w:p>
        </w:tc>
        <w:tc>
          <w:tcPr>
            <w:tcW w:type="dxa" w:w="4968"/>
            <w:vAlign w:val="center"/>
          </w:tcPr>
          <w:p>
            <w:r>
              <w:t>Compare recorded and audited amounts and document supporting bank evidence.</w:t>
            </w:r>
          </w:p>
        </w:tc>
      </w:tr>
      <w:tr>
        <w:tc>
          <w:tcPr>
            <w:tcW w:type="dxa" w:w="4968"/>
            <w:vAlign w:val="center"/>
          </w:tcPr>
          <w:p>
            <w:r>
              <w:t>Inventory</w:t>
            </w:r>
          </w:p>
        </w:tc>
        <w:tc>
          <w:tcPr>
            <w:tcW w:type="dxa" w:w="4968"/>
            <w:vAlign w:val="center"/>
          </w:tcPr>
          <w:p>
            <w:r>
              <w:t>Summarise balance and link valuation/counting procedures.</w:t>
            </w:r>
          </w:p>
        </w:tc>
      </w:tr>
    </w:tbl>
    <w:p>
      <w:r>
        <w:t>Actual trial-balance and audited balances are intentionally left blank in the project where the source material does not provide client financial data.</w:t>
      </w:r>
    </w:p>
    <w:p>
      <w:pPr>
        <w:pStyle w:val="Heading1"/>
      </w:pPr>
      <w:r>
        <w:t>9. Completion &amp; Review</w:t>
      </w:r>
    </w:p>
    <w:p>
      <w:r>
        <w:t>The completion stage brings together section conclusions, review points, misstatement summary, completion checklist and the overall simulated conclusion. The working papers retain open fields where actual evidence or quantified misstatements are not supplied.</w:t>
      </w:r>
    </w:p>
    <w:p>
      <w:pPr>
        <w:pStyle w:val="ListBullet"/>
      </w:pPr>
      <w:r>
        <w:t>Review the conclusions from each audit section.</w:t>
      </w:r>
    </w:p>
    <w:p>
      <w:pPr>
        <w:pStyle w:val="ListBullet"/>
      </w:pPr>
      <w:r>
        <w:t>Summarise identified or potential misstatements.</w:t>
      </w:r>
    </w:p>
    <w:p>
      <w:pPr>
        <w:pStyle w:val="ListBullet"/>
      </w:pPr>
      <w:r>
        <w:t>Clear review points and ensure appropriate cross-references.</w:t>
      </w:r>
    </w:p>
    <w:p>
      <w:pPr>
        <w:pStyle w:val="ListBullet"/>
      </w:pPr>
      <w:r>
        <w:t>Complete the final audit conclusion only after sufficient simulated evidence is documented.</w:t>
      </w:r>
    </w:p>
    <w:p>
      <w:pPr>
        <w:pStyle w:val="ListBullet"/>
      </w:pPr>
      <w:r>
        <w:t>Maintain clear sign-off between preparer and reviewer.</w:t>
      </w:r>
    </w:p>
    <w:p>
      <w:pPr>
        <w:pStyle w:val="Heading1"/>
      </w:pPr>
      <w:r>
        <w:t>10. Overall Audit Conclusion</w:t>
      </w:r>
    </w:p>
    <w:p>
      <w:r>
        <w:t>Based on the project structure, the simulated engagement is designed to conclude only after completion of the planned audit procedures, evaluation of identified differences and review of the supporting evidence. Because the project source does not provide a complete population of client records, actual financial statement balances, quantified misstatements or complete audit evidence, this document does not issue an audit opinion.</w:t>
      </w:r>
    </w:p>
    <w:p>
      <w:r>
        <w:rPr>
          <w:b/>
        </w:rPr>
        <w:t>Final conclusion status: SIMULATED / TO BE COMPLETED FROM SUPPORTING AUDIT EVIDENCE.</w:t>
      </w:r>
    </w:p>
    <w:p>
      <w:pPr>
        <w:pStyle w:val="Heading1"/>
      </w:pPr>
      <w:r>
        <w:t>11. Key Audit Observations</w:t>
      </w:r>
    </w:p>
    <w:p>
      <w:pPr>
        <w:pStyle w:val="ListBullet"/>
      </w:pPr>
      <w:r>
        <w:t>Materiality provides a basis for evaluating the significance of identified differences.</w:t>
      </w:r>
    </w:p>
    <w:p>
      <w:pPr>
        <w:pStyle w:val="ListBullet"/>
      </w:pPr>
      <w:r>
        <w:t>Revenue recognition requires specific attention to cut-off and fraud-risk considerations.</w:t>
      </w:r>
    </w:p>
    <w:p>
      <w:pPr>
        <w:pStyle w:val="ListBullet"/>
      </w:pPr>
      <w:r>
        <w:t>Inventory valuation involves judgement and requires supporting evidence.</w:t>
      </w:r>
    </w:p>
    <w:p>
      <w:pPr>
        <w:pStyle w:val="ListBullet"/>
      </w:pPr>
      <w:r>
        <w:t>Management estimates require challenge of assumptions and consideration of potential bias.</w:t>
      </w:r>
    </w:p>
    <w:p>
      <w:pPr>
        <w:pStyle w:val="ListBullet"/>
      </w:pPr>
      <w:r>
        <w:t>Lead schedules and cross-references improve the traceability of audit work.</w:t>
      </w:r>
    </w:p>
    <w:p>
      <w:pPr>
        <w:pStyle w:val="ListBullet"/>
      </w:pPr>
      <w:r>
        <w:t>The distinction between controls testing and substantive testing is central to the audit approach.</w:t>
      </w:r>
    </w:p>
    <w:p>
      <w:pPr>
        <w:pStyle w:val="ListBullet"/>
      </w:pPr>
      <w:r>
        <w:t>Sampling allows selected transactions or balances to be tested rather than automatically testing 100% of the population.</w:t>
      </w:r>
    </w:p>
    <w:p>
      <w:pPr>
        <w:pStyle w:val="Heading1"/>
      </w:pPr>
      <w:r>
        <w:t>12. Appendix – Working Paper References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Reference</w:t>
            </w:r>
          </w:p>
        </w:tc>
        <w:tc>
          <w:tcPr>
            <w:tcW w:type="dxa" w:w="4968"/>
          </w:tcPr>
          <w:p>
            <w:r>
              <w:rPr>
                <w:b/>
              </w:rPr>
              <w:t>Section</w:t>
            </w:r>
          </w:p>
        </w:tc>
      </w:tr>
      <w:tr>
        <w:tc>
          <w:tcPr>
            <w:tcW w:type="dxa" w:w="4968"/>
            <w:vAlign w:val="center"/>
          </w:tcPr>
          <w:p>
            <w:r>
              <w:t>A</w:t>
            </w:r>
          </w:p>
        </w:tc>
        <w:tc>
          <w:tcPr>
            <w:tcW w:type="dxa" w:w="4968"/>
            <w:vAlign w:val="center"/>
          </w:tcPr>
          <w:p>
            <w:r>
              <w:t>Audit Planning</w:t>
            </w:r>
          </w:p>
        </w:tc>
      </w:tr>
      <w:tr>
        <w:tc>
          <w:tcPr>
            <w:tcW w:type="dxa" w:w="4968"/>
            <w:vAlign w:val="center"/>
          </w:tcPr>
          <w:p>
            <w:r>
              <w:t>B</w:t>
            </w:r>
          </w:p>
        </w:tc>
        <w:tc>
          <w:tcPr>
            <w:tcW w:type="dxa" w:w="4968"/>
            <w:vAlign w:val="center"/>
          </w:tcPr>
          <w:p>
            <w:r>
              <w:t>Risk Assessment &amp; Materiality</w:t>
            </w:r>
          </w:p>
        </w:tc>
      </w:tr>
      <w:tr>
        <w:tc>
          <w:tcPr>
            <w:tcW w:type="dxa" w:w="4968"/>
            <w:vAlign w:val="center"/>
          </w:tcPr>
          <w:p>
            <w:r>
              <w:t>C</w:t>
            </w:r>
          </w:p>
        </w:tc>
        <w:tc>
          <w:tcPr>
            <w:tcW w:type="dxa" w:w="4968"/>
            <w:vAlign w:val="center"/>
          </w:tcPr>
          <w:p>
            <w:r>
              <w:t>Controls Testing</w:t>
            </w:r>
          </w:p>
        </w:tc>
      </w:tr>
      <w:tr>
        <w:tc>
          <w:tcPr>
            <w:tcW w:type="dxa" w:w="4968"/>
            <w:vAlign w:val="center"/>
          </w:tcPr>
          <w:p>
            <w:r>
              <w:t>D–G</w:t>
            </w:r>
          </w:p>
        </w:tc>
        <w:tc>
          <w:tcPr>
            <w:tcW w:type="dxa" w:w="4968"/>
            <w:vAlign w:val="center"/>
          </w:tcPr>
          <w:p>
            <w:r>
              <w:t>Substantive Testing</w:t>
            </w:r>
          </w:p>
        </w:tc>
      </w:tr>
      <w:tr>
        <w:tc>
          <w:tcPr>
            <w:tcW w:type="dxa" w:w="4968"/>
            <w:vAlign w:val="center"/>
          </w:tcPr>
          <w:p>
            <w:r>
              <w:t>Lead Schedules</w:t>
            </w:r>
          </w:p>
        </w:tc>
        <w:tc>
          <w:tcPr>
            <w:tcW w:type="dxa" w:w="4968"/>
            <w:vAlign w:val="center"/>
          </w:tcPr>
          <w:p>
            <w:r>
              <w:t>Revenue, Payables, Cash and Inventory</w:t>
            </w:r>
          </w:p>
        </w:tc>
      </w:tr>
      <w:tr>
        <w:tc>
          <w:tcPr>
            <w:tcW w:type="dxa" w:w="4968"/>
            <w:vAlign w:val="center"/>
          </w:tcPr>
          <w:p>
            <w:r>
              <w:t>Z</w:t>
            </w:r>
          </w:p>
        </w:tc>
        <w:tc>
          <w:tcPr>
            <w:tcW w:type="dxa" w:w="4968"/>
            <w:vAlign w:val="center"/>
          </w:tcPr>
          <w:p>
            <w:r>
              <w:t>Completion &amp; Conclusions</w:t>
            </w:r>
          </w:p>
        </w:tc>
      </w:tr>
      <w:tr>
        <w:tc>
          <w:tcPr>
            <w:tcW w:type="dxa" w:w="4968"/>
            <w:vAlign w:val="center"/>
          </w:tcPr>
          <w:p>
            <w:r>
              <w:t>F3</w:t>
            </w:r>
          </w:p>
        </w:tc>
        <w:tc>
          <w:tcPr>
            <w:tcW w:type="dxa" w:w="4968"/>
            <w:vAlign w:val="center"/>
          </w:tcPr>
          <w:p>
            <w:r>
              <w:t>Illustrative cash transfer cut-off review</w:t>
            </w:r>
          </w:p>
        </w:tc>
      </w:tr>
    </w:tbl>
    <w:p>
      <w:pPr>
        <w:pStyle w:val="Heading1"/>
      </w:pPr>
      <w:r>
        <w:t>Project Status &amp; Important Note</w:t>
      </w:r>
    </w:p>
    <w:p>
      <w:r>
        <w:t>This report is a portfolio deliverable based on the simulated Meridian Trading Ltd audit working-paper project. It should not be represented as an independent auditor's report, audit opinion, assurance conclusion or evidence that an actual audit was performed.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Meridian Trading Ltd – Simulated Audit Working Papers | Portfolio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