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6C55CD" w14:textId="4E9EDE72" w:rsidR="004E1028" w:rsidRPr="00186907" w:rsidRDefault="007873F9">
      <w:pPr>
        <w:rPr>
          <w:b/>
          <w:bCs/>
        </w:rPr>
      </w:pPr>
      <w:r w:rsidRPr="00186907">
        <w:rPr>
          <w:b/>
          <w:bCs/>
        </w:rPr>
        <w:t>Management Insights</w:t>
      </w:r>
    </w:p>
    <w:p w14:paraId="6456F020" w14:textId="009D4CD1" w:rsidR="007873F9" w:rsidRDefault="007873F9">
      <w:r w:rsidRPr="007873F9">
        <w:rPr>
          <w:b/>
          <w:bCs/>
        </w:rPr>
        <w:t>1. Strong Revenue and Profit Growth</w:t>
      </w:r>
      <w:r w:rsidRPr="007873F9">
        <w:br/>
        <w:t xml:space="preserve">NVIDIA's revenue increased from </w:t>
      </w:r>
      <w:r w:rsidRPr="007873F9">
        <w:rPr>
          <w:b/>
          <w:bCs/>
        </w:rPr>
        <w:t>$60.9 billion in FY2024</w:t>
      </w:r>
      <w:r w:rsidRPr="007873F9">
        <w:t xml:space="preserve"> to </w:t>
      </w:r>
      <w:r w:rsidRPr="007873F9">
        <w:rPr>
          <w:b/>
          <w:bCs/>
        </w:rPr>
        <w:t>$130.5 billion in FY2025</w:t>
      </w:r>
      <w:r w:rsidRPr="007873F9">
        <w:t xml:space="preserve"> and </w:t>
      </w:r>
      <w:r w:rsidRPr="007873F9">
        <w:rPr>
          <w:b/>
          <w:bCs/>
        </w:rPr>
        <w:t>$215.9 billion in FY2026</w:t>
      </w:r>
      <w:r w:rsidRPr="007873F9">
        <w:t xml:space="preserve">. Net income increased from </w:t>
      </w:r>
      <w:r w:rsidRPr="007873F9">
        <w:rPr>
          <w:b/>
          <w:bCs/>
        </w:rPr>
        <w:t>$29.8 billion</w:t>
      </w:r>
      <w:r w:rsidRPr="007873F9">
        <w:t xml:space="preserve"> to </w:t>
      </w:r>
      <w:r w:rsidRPr="007873F9">
        <w:rPr>
          <w:b/>
          <w:bCs/>
        </w:rPr>
        <w:t>$72.9 billion</w:t>
      </w:r>
      <w:r w:rsidRPr="007873F9">
        <w:t xml:space="preserve"> and </w:t>
      </w:r>
      <w:r w:rsidRPr="007873F9">
        <w:rPr>
          <w:b/>
          <w:bCs/>
        </w:rPr>
        <w:t>$120.1 billion</w:t>
      </w:r>
      <w:r w:rsidRPr="007873F9">
        <w:t xml:space="preserve"> over the same period. Revenue increased by approximately </w:t>
      </w:r>
      <w:r w:rsidRPr="007873F9">
        <w:rPr>
          <w:b/>
          <w:bCs/>
        </w:rPr>
        <w:t>254.5%</w:t>
      </w:r>
      <w:r w:rsidRPr="007873F9">
        <w:t xml:space="preserve">, while net income increased by approximately </w:t>
      </w:r>
      <w:r w:rsidRPr="007873F9">
        <w:rPr>
          <w:b/>
          <w:bCs/>
        </w:rPr>
        <w:t>303.4%</w:t>
      </w:r>
      <w:r w:rsidRPr="007873F9">
        <w:t xml:space="preserve"> from FY2024 to FY2026.</w:t>
      </w:r>
    </w:p>
    <w:p w14:paraId="3E31D459" w14:textId="4BDD224F" w:rsidR="007873F9" w:rsidRPr="007873F9" w:rsidRDefault="007873F9" w:rsidP="007873F9">
      <w:pPr>
        <w:rPr>
          <w:b/>
          <w:bCs/>
        </w:rPr>
      </w:pPr>
      <w:r>
        <w:rPr>
          <w:b/>
          <w:bCs/>
        </w:rPr>
        <w:t xml:space="preserve">2. </w:t>
      </w:r>
      <w:r w:rsidRPr="007873F9">
        <w:rPr>
          <w:b/>
          <w:bCs/>
        </w:rPr>
        <w:t>Strong Profitability</w:t>
      </w:r>
    </w:p>
    <w:p w14:paraId="18AC3F57" w14:textId="77777777" w:rsidR="007873F9" w:rsidRPr="007873F9" w:rsidRDefault="007873F9" w:rsidP="007873F9">
      <w:r w:rsidRPr="007873F9">
        <w:t xml:space="preserve">NVIDIA's profitability remained very strong throughout FY2024–FY2026. </w:t>
      </w:r>
      <w:r w:rsidRPr="007873F9">
        <w:rPr>
          <w:b/>
          <w:bCs/>
        </w:rPr>
        <w:t>Net margin</w:t>
      </w:r>
      <w:r w:rsidRPr="007873F9">
        <w:t xml:space="preserve"> increased from </w:t>
      </w:r>
      <w:r w:rsidRPr="007873F9">
        <w:rPr>
          <w:b/>
          <w:bCs/>
        </w:rPr>
        <w:t>48.86% in FY2024</w:t>
      </w:r>
      <w:r w:rsidRPr="007873F9">
        <w:t xml:space="preserve"> to </w:t>
      </w:r>
      <w:r w:rsidRPr="007873F9">
        <w:rPr>
          <w:b/>
          <w:bCs/>
        </w:rPr>
        <w:t>55.85% in FY2025</w:t>
      </w:r>
      <w:r w:rsidRPr="007873F9">
        <w:t xml:space="preserve"> and remained high at </w:t>
      </w:r>
      <w:r w:rsidRPr="007873F9">
        <w:rPr>
          <w:b/>
          <w:bCs/>
        </w:rPr>
        <w:t>55.61% in FY2026</w:t>
      </w:r>
      <w:r w:rsidRPr="007873F9">
        <w:t xml:space="preserve">. </w:t>
      </w:r>
      <w:r w:rsidRPr="007873F9">
        <w:rPr>
          <w:b/>
          <w:bCs/>
        </w:rPr>
        <w:t>ROCE</w:t>
      </w:r>
      <w:r w:rsidRPr="007873F9">
        <w:t xml:space="preserve"> also increased from </w:t>
      </w:r>
      <w:r w:rsidRPr="007873F9">
        <w:rPr>
          <w:b/>
          <w:bCs/>
        </w:rPr>
        <w:t>59.84%</w:t>
      </w:r>
      <w:r w:rsidRPr="007873F9">
        <w:t xml:space="preserve"> in FY2024 to </w:t>
      </w:r>
      <w:r w:rsidRPr="007873F9">
        <w:rPr>
          <w:b/>
          <w:bCs/>
        </w:rPr>
        <w:t>87.07%</w:t>
      </w:r>
      <w:r w:rsidRPr="007873F9">
        <w:t xml:space="preserve"> in FY2025 before moderating to </w:t>
      </w:r>
      <w:r w:rsidRPr="007873F9">
        <w:rPr>
          <w:b/>
          <w:bCs/>
        </w:rPr>
        <w:t>74.67%</w:t>
      </w:r>
      <w:r w:rsidRPr="007873F9">
        <w:t xml:space="preserve"> in FY2026.</w:t>
      </w:r>
    </w:p>
    <w:p w14:paraId="23069A64" w14:textId="77777777" w:rsidR="007873F9" w:rsidRPr="007873F9" w:rsidRDefault="007873F9" w:rsidP="007873F9">
      <w:r w:rsidRPr="007873F9">
        <w:rPr>
          <w:b/>
          <w:bCs/>
        </w:rPr>
        <w:t>Quantitative change:</w:t>
      </w:r>
    </w:p>
    <w:p w14:paraId="4F5DA121" w14:textId="77777777" w:rsidR="007873F9" w:rsidRPr="007873F9" w:rsidRDefault="007873F9" w:rsidP="007873F9">
      <w:pPr>
        <w:numPr>
          <w:ilvl w:val="0"/>
          <w:numId w:val="1"/>
        </w:numPr>
      </w:pPr>
      <w:r w:rsidRPr="007873F9">
        <w:t xml:space="preserve">Net margin: </w:t>
      </w:r>
      <w:r w:rsidRPr="007873F9">
        <w:rPr>
          <w:b/>
          <w:bCs/>
        </w:rPr>
        <w:t>48.86% → 55.61%</w:t>
      </w:r>
      <w:r w:rsidRPr="007873F9">
        <w:t xml:space="preserve"> </w:t>
      </w:r>
    </w:p>
    <w:p w14:paraId="55FB4EAC" w14:textId="77777777" w:rsidR="007873F9" w:rsidRPr="007873F9" w:rsidRDefault="007873F9" w:rsidP="007873F9">
      <w:pPr>
        <w:numPr>
          <w:ilvl w:val="0"/>
          <w:numId w:val="1"/>
        </w:numPr>
      </w:pPr>
      <w:r w:rsidRPr="007873F9">
        <w:t xml:space="preserve">ROCE: </w:t>
      </w:r>
      <w:r w:rsidRPr="007873F9">
        <w:rPr>
          <w:b/>
          <w:bCs/>
        </w:rPr>
        <w:t>59.84% → 74.67%</w:t>
      </w:r>
      <w:r w:rsidRPr="007873F9">
        <w:t xml:space="preserve"> </w:t>
      </w:r>
    </w:p>
    <w:p w14:paraId="4F8E2F4F" w14:textId="626FE843" w:rsidR="007873F9" w:rsidRDefault="007873F9" w:rsidP="007873F9">
      <w:pPr>
        <w:numPr>
          <w:ilvl w:val="0"/>
          <w:numId w:val="1"/>
        </w:numPr>
      </w:pPr>
      <w:r w:rsidRPr="007873F9">
        <w:t xml:space="preserve">FY2025 recorded the highest ROCE at </w:t>
      </w:r>
      <w:r w:rsidRPr="007873F9">
        <w:rPr>
          <w:b/>
          <w:bCs/>
        </w:rPr>
        <w:t>87.07%</w:t>
      </w:r>
    </w:p>
    <w:p w14:paraId="04A5CBE3" w14:textId="7A2CE669" w:rsidR="00186907" w:rsidRPr="00186907" w:rsidRDefault="00186907" w:rsidP="00186907">
      <w:pPr>
        <w:rPr>
          <w:b/>
          <w:bCs/>
        </w:rPr>
      </w:pPr>
      <w:r>
        <w:rPr>
          <w:b/>
          <w:bCs/>
        </w:rPr>
        <w:t xml:space="preserve">3. </w:t>
      </w:r>
      <w:r w:rsidRPr="00186907">
        <w:rPr>
          <w:b/>
          <w:bCs/>
        </w:rPr>
        <w:t>Strong Liquidity Position</w:t>
      </w:r>
    </w:p>
    <w:p w14:paraId="678B88EC" w14:textId="77777777" w:rsidR="00186907" w:rsidRPr="00186907" w:rsidRDefault="00186907" w:rsidP="00186907">
      <w:r w:rsidRPr="00186907">
        <w:t xml:space="preserve">NVIDIA maintained a strong liquidity position across all three years. The </w:t>
      </w:r>
      <w:r w:rsidRPr="00186907">
        <w:rPr>
          <w:b/>
          <w:bCs/>
        </w:rPr>
        <w:t>current ratio</w:t>
      </w:r>
      <w:r w:rsidRPr="00186907">
        <w:t xml:space="preserve"> increased from </w:t>
      </w:r>
      <w:r w:rsidRPr="00186907">
        <w:rPr>
          <w:b/>
          <w:bCs/>
        </w:rPr>
        <w:t>4.17 in FY2024</w:t>
      </w:r>
      <w:r w:rsidRPr="00186907">
        <w:t xml:space="preserve"> to </w:t>
      </w:r>
      <w:r w:rsidRPr="00186907">
        <w:rPr>
          <w:b/>
          <w:bCs/>
        </w:rPr>
        <w:t>4.44 in FY2025</w:t>
      </w:r>
      <w:r w:rsidRPr="00186907">
        <w:t xml:space="preserve">, before declining slightly to </w:t>
      </w:r>
      <w:r w:rsidRPr="00186907">
        <w:rPr>
          <w:b/>
          <w:bCs/>
        </w:rPr>
        <w:t>3.90 in FY2026</w:t>
      </w:r>
      <w:r w:rsidRPr="00186907">
        <w:t xml:space="preserve">. The </w:t>
      </w:r>
      <w:r w:rsidRPr="00186907">
        <w:rPr>
          <w:b/>
          <w:bCs/>
        </w:rPr>
        <w:t>quick ratio</w:t>
      </w:r>
      <w:r w:rsidRPr="00186907">
        <w:t xml:space="preserve"> followed a similar pattern, moving from </w:t>
      </w:r>
      <w:r w:rsidRPr="00186907">
        <w:rPr>
          <w:b/>
          <w:bCs/>
        </w:rPr>
        <w:t>3.67</w:t>
      </w:r>
      <w:r w:rsidRPr="00186907">
        <w:t xml:space="preserve"> to </w:t>
      </w:r>
      <w:r w:rsidRPr="00186907">
        <w:rPr>
          <w:b/>
          <w:bCs/>
        </w:rPr>
        <w:t>3.88</w:t>
      </w:r>
      <w:r w:rsidRPr="00186907">
        <w:t xml:space="preserve"> and then </w:t>
      </w:r>
      <w:r w:rsidRPr="00186907">
        <w:rPr>
          <w:b/>
          <w:bCs/>
        </w:rPr>
        <w:t>3.24</w:t>
      </w:r>
      <w:r w:rsidRPr="00186907">
        <w:t>.</w:t>
      </w:r>
    </w:p>
    <w:p w14:paraId="212CED2A" w14:textId="7A2E2E6C" w:rsidR="007873F9" w:rsidRPr="007873F9" w:rsidRDefault="00186907" w:rsidP="007873F9">
      <w:r w:rsidRPr="00186907">
        <w:t>This indicates that current assets remained substantially higher than current liabilities throughout the period, while the slight decline in FY2026 is something to monitor.</w:t>
      </w:r>
    </w:p>
    <w:p w14:paraId="0BCD64B8" w14:textId="6F89D5AA" w:rsidR="00186907" w:rsidRPr="00186907" w:rsidRDefault="00186907" w:rsidP="00186907">
      <w:pPr>
        <w:rPr>
          <w:b/>
          <w:bCs/>
        </w:rPr>
      </w:pPr>
      <w:r>
        <w:rPr>
          <w:b/>
          <w:bCs/>
        </w:rPr>
        <w:t xml:space="preserve">4. </w:t>
      </w:r>
      <w:r w:rsidRPr="00186907">
        <w:rPr>
          <w:b/>
          <w:bCs/>
        </w:rPr>
        <w:t>Efficiency Needs Monitoring</w:t>
      </w:r>
    </w:p>
    <w:p w14:paraId="619DAB40" w14:textId="77777777" w:rsidR="00186907" w:rsidRPr="00186907" w:rsidRDefault="00186907" w:rsidP="00186907">
      <w:r w:rsidRPr="00186907">
        <w:t xml:space="preserve">NVIDIA's efficiency ratios show that working-capital requirements increased during the period. </w:t>
      </w:r>
      <w:r w:rsidRPr="00186907">
        <w:rPr>
          <w:b/>
          <w:bCs/>
        </w:rPr>
        <w:t>Inventory days</w:t>
      </w:r>
      <w:r w:rsidRPr="00186907">
        <w:t xml:space="preserve"> increased from </w:t>
      </w:r>
      <w:r w:rsidRPr="00186907">
        <w:rPr>
          <w:b/>
          <w:bCs/>
        </w:rPr>
        <w:t>85.93 days in FY2025</w:t>
      </w:r>
      <w:r w:rsidRPr="00186907">
        <w:t xml:space="preserve"> to </w:t>
      </w:r>
      <w:r w:rsidRPr="00186907">
        <w:rPr>
          <w:b/>
          <w:bCs/>
        </w:rPr>
        <w:t>91.96 days in FY2026</w:t>
      </w:r>
      <w:r w:rsidRPr="00186907">
        <w:t xml:space="preserve">, while </w:t>
      </w:r>
      <w:r w:rsidRPr="00186907">
        <w:rPr>
          <w:b/>
          <w:bCs/>
        </w:rPr>
        <w:t>receivable days</w:t>
      </w:r>
      <w:r w:rsidRPr="00186907">
        <w:t xml:space="preserve"> increased from </w:t>
      </w:r>
      <w:r w:rsidRPr="00186907">
        <w:rPr>
          <w:b/>
          <w:bCs/>
        </w:rPr>
        <w:t>46.25 days</w:t>
      </w:r>
      <w:r w:rsidRPr="00186907">
        <w:t xml:space="preserve"> to </w:t>
      </w:r>
      <w:r w:rsidRPr="00186907">
        <w:rPr>
          <w:b/>
          <w:bCs/>
        </w:rPr>
        <w:t>52.01 days</w:t>
      </w:r>
      <w:r w:rsidRPr="00186907">
        <w:t xml:space="preserve">. </w:t>
      </w:r>
      <w:r w:rsidRPr="00186907">
        <w:rPr>
          <w:b/>
          <w:bCs/>
        </w:rPr>
        <w:t>Asset turnover</w:t>
      </w:r>
      <w:r w:rsidRPr="00186907">
        <w:t xml:space="preserve"> declined from </w:t>
      </w:r>
      <w:r w:rsidRPr="00186907">
        <w:rPr>
          <w:b/>
          <w:bCs/>
        </w:rPr>
        <w:t>1.47x</w:t>
      </w:r>
      <w:r w:rsidRPr="00186907">
        <w:t xml:space="preserve"> to </w:t>
      </w:r>
      <w:r w:rsidRPr="00186907">
        <w:rPr>
          <w:b/>
          <w:bCs/>
        </w:rPr>
        <w:t>1.36x</w:t>
      </w:r>
      <w:r w:rsidRPr="00186907">
        <w:t xml:space="preserve"> over the same period.</w:t>
      </w:r>
    </w:p>
    <w:p w14:paraId="78BFB03B" w14:textId="77777777" w:rsidR="00186907" w:rsidRPr="00186907" w:rsidRDefault="00186907" w:rsidP="00186907">
      <w:r w:rsidRPr="00186907">
        <w:t>This suggests that more time was required to convert inventory and receivables into sales, while the amount of revenue generated per unit of assets decreased slightly.</w:t>
      </w:r>
    </w:p>
    <w:p w14:paraId="76D3A4B1" w14:textId="6AE8D0C0" w:rsidR="00186907" w:rsidRPr="00186907" w:rsidRDefault="00186907" w:rsidP="00186907">
      <w:pPr>
        <w:rPr>
          <w:b/>
          <w:bCs/>
        </w:rPr>
      </w:pPr>
      <w:r>
        <w:rPr>
          <w:b/>
          <w:bCs/>
        </w:rPr>
        <w:t xml:space="preserve">5. </w:t>
      </w:r>
      <w:r w:rsidRPr="00186907">
        <w:rPr>
          <w:b/>
          <w:bCs/>
        </w:rPr>
        <w:t>Low Leverage and Strong Interest Coverage</w:t>
      </w:r>
    </w:p>
    <w:p w14:paraId="306201A1" w14:textId="77777777" w:rsidR="00186907" w:rsidRPr="00186907" w:rsidRDefault="00186907" w:rsidP="00186907">
      <w:r w:rsidRPr="00186907">
        <w:t xml:space="preserve">NVIDIA's leverage position improved substantially over the three-year period. </w:t>
      </w:r>
      <w:r w:rsidRPr="00186907">
        <w:rPr>
          <w:b/>
          <w:bCs/>
        </w:rPr>
        <w:t>Gearing</w:t>
      </w:r>
      <w:r w:rsidRPr="00186907">
        <w:t xml:space="preserve"> declined from </w:t>
      </w:r>
      <w:r w:rsidRPr="00186907">
        <w:rPr>
          <w:b/>
          <w:bCs/>
        </w:rPr>
        <w:t>22.59% in FY2024</w:t>
      </w:r>
      <w:r w:rsidRPr="00186907">
        <w:t xml:space="preserve"> to </w:t>
      </w:r>
      <w:r w:rsidRPr="00186907">
        <w:rPr>
          <w:b/>
          <w:bCs/>
        </w:rPr>
        <w:t>10.67% in FY2025</w:t>
      </w:r>
      <w:r w:rsidRPr="00186907">
        <w:t xml:space="preserve"> and </w:t>
      </w:r>
      <w:r w:rsidRPr="00186907">
        <w:rPr>
          <w:b/>
          <w:bCs/>
        </w:rPr>
        <w:t>5.38% in FY2026</w:t>
      </w:r>
      <w:r w:rsidRPr="00186907">
        <w:t xml:space="preserve">. At the same time, </w:t>
      </w:r>
      <w:r w:rsidRPr="00186907">
        <w:rPr>
          <w:b/>
          <w:bCs/>
        </w:rPr>
        <w:t>interest cover</w:t>
      </w:r>
      <w:r w:rsidRPr="00186907">
        <w:t xml:space="preserve"> increased from </w:t>
      </w:r>
      <w:r w:rsidRPr="00186907">
        <w:rPr>
          <w:b/>
          <w:bCs/>
        </w:rPr>
        <w:t>128.30x</w:t>
      </w:r>
      <w:r w:rsidRPr="00186907">
        <w:t xml:space="preserve"> in FY2024 to </w:t>
      </w:r>
      <w:r w:rsidRPr="00186907">
        <w:rPr>
          <w:b/>
          <w:bCs/>
        </w:rPr>
        <w:t>329.77x</w:t>
      </w:r>
      <w:r w:rsidRPr="00186907">
        <w:t xml:space="preserve"> in FY2025 and </w:t>
      </w:r>
      <w:r w:rsidRPr="00186907">
        <w:rPr>
          <w:b/>
          <w:bCs/>
        </w:rPr>
        <w:t>503.43x</w:t>
      </w:r>
      <w:r w:rsidRPr="00186907">
        <w:t xml:space="preserve"> in FY2026.</w:t>
      </w:r>
    </w:p>
    <w:p w14:paraId="3AE5438C" w14:textId="77777777" w:rsidR="00186907" w:rsidRPr="00186907" w:rsidRDefault="00186907" w:rsidP="00186907">
      <w:r w:rsidRPr="00186907">
        <w:t>This indicates that debt represented a smaller proportion of equity over time, while operating income provided a very large level of coverage for interest expense.</w:t>
      </w:r>
    </w:p>
    <w:p w14:paraId="74AAAF6D" w14:textId="06B345E4" w:rsidR="00186907" w:rsidRPr="00186907" w:rsidRDefault="00186907" w:rsidP="00186907">
      <w:pPr>
        <w:rPr>
          <w:b/>
          <w:bCs/>
        </w:rPr>
      </w:pPr>
      <w:r>
        <w:rPr>
          <w:b/>
          <w:bCs/>
        </w:rPr>
        <w:t xml:space="preserve">6. </w:t>
      </w:r>
      <w:r w:rsidRPr="00186907">
        <w:rPr>
          <w:b/>
          <w:bCs/>
        </w:rPr>
        <w:t>Strong Operating Cash Flow Growth</w:t>
      </w:r>
    </w:p>
    <w:p w14:paraId="5318D997" w14:textId="77777777" w:rsidR="00186907" w:rsidRPr="00186907" w:rsidRDefault="00186907" w:rsidP="00186907">
      <w:r w:rsidRPr="00186907">
        <w:t xml:space="preserve">NVIDIA's operating cash flow increased substantially over the three-year period, rising from </w:t>
      </w:r>
      <w:r w:rsidRPr="00186907">
        <w:rPr>
          <w:b/>
          <w:bCs/>
        </w:rPr>
        <w:t>$28.1 billion in FY2024</w:t>
      </w:r>
      <w:r w:rsidRPr="00186907">
        <w:t xml:space="preserve"> to </w:t>
      </w:r>
      <w:r w:rsidRPr="00186907">
        <w:rPr>
          <w:b/>
          <w:bCs/>
        </w:rPr>
        <w:t>$64.1 billion in FY2025</w:t>
      </w:r>
      <w:r w:rsidRPr="00186907">
        <w:t xml:space="preserve"> and </w:t>
      </w:r>
      <w:r w:rsidRPr="00186907">
        <w:rPr>
          <w:b/>
          <w:bCs/>
        </w:rPr>
        <w:t>$102.7 billion in FY2026</w:t>
      </w:r>
      <w:r w:rsidRPr="00186907">
        <w:t xml:space="preserve">. This represents an increase of approximately </w:t>
      </w:r>
      <w:r w:rsidRPr="00186907">
        <w:rPr>
          <w:b/>
          <w:bCs/>
        </w:rPr>
        <w:t>265.9%</w:t>
      </w:r>
      <w:r w:rsidRPr="00186907">
        <w:t xml:space="preserve"> from FY2024 to FY2026. Operating cash flow remained positive in all three years, indicating strong cash generation from the company's operations.</w:t>
      </w:r>
    </w:p>
    <w:p w14:paraId="192FA89C" w14:textId="6ABD67AA" w:rsidR="007873F9" w:rsidRPr="00442A3B" w:rsidRDefault="00442A3B">
      <w:pPr>
        <w:rPr>
          <w:b/>
          <w:bCs/>
        </w:rPr>
      </w:pPr>
      <w:r w:rsidRPr="00442A3B">
        <w:rPr>
          <w:b/>
          <w:bCs/>
        </w:rPr>
        <w:lastRenderedPageBreak/>
        <w:t>References</w:t>
      </w:r>
    </w:p>
    <w:p w14:paraId="4595064A" w14:textId="3C879751" w:rsidR="00442A3B" w:rsidRDefault="006C74E9">
      <w:r w:rsidRPr="006C74E9">
        <w:rPr>
          <w:b/>
          <w:bCs/>
        </w:rPr>
        <w:t>Source:</w:t>
      </w:r>
      <w:r w:rsidRPr="006C74E9">
        <w:t xml:space="preserve"> </w:t>
      </w:r>
      <w:r w:rsidR="003E7ECF" w:rsidRPr="003E7ECF">
        <w:t>NVIDIA Corporation Annual Report, FY2024–FY2026 financial statements.</w:t>
      </w:r>
    </w:p>
    <w:p w14:paraId="2FC3873A" w14:textId="77777777" w:rsidR="006C74E9" w:rsidRDefault="006C74E9"/>
    <w:sectPr w:rsidR="006C74E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9120C2"/>
    <w:multiLevelType w:val="multilevel"/>
    <w:tmpl w:val="BA781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93429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73F9"/>
    <w:rsid w:val="00186907"/>
    <w:rsid w:val="003E7ECF"/>
    <w:rsid w:val="00442A3B"/>
    <w:rsid w:val="004E1028"/>
    <w:rsid w:val="006673EB"/>
    <w:rsid w:val="006C74E9"/>
    <w:rsid w:val="006F1E56"/>
    <w:rsid w:val="007873F9"/>
    <w:rsid w:val="008546CB"/>
    <w:rsid w:val="00D241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553149"/>
  <w15:chartTrackingRefBased/>
  <w15:docId w15:val="{8BECF19E-C401-4D6A-89EA-F8F3DC5568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73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73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73F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73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73F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73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73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73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73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73F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73F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73F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73F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73F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73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73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73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73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73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73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73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73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73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73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73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73F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73F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73F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73F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2</Pages>
  <Words>409</Words>
  <Characters>2332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Harsha Varthan</dc:creator>
  <cp:keywords/>
  <dc:description/>
  <cp:lastModifiedBy>Harsha Varthan</cp:lastModifiedBy>
  <cp:revision>4</cp:revision>
  <dcterms:created xsi:type="dcterms:W3CDTF">2026-09-20T15:06:00Z</dcterms:created>
  <dcterms:modified xsi:type="dcterms:W3CDTF">2026-09-20T16:15:00Z</dcterms:modified>
</cp:coreProperties>
</file>