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color w:val="64716C"/>
          <w:sz w:val="17"/>
        </w:rPr>
        <w:t>Ministry of Social Justice &amp; Empowerment | Government of India</w:t>
        <w:br/>
        <w:t>SIH 2026 | PS ID: 26093 | Team: Veom Vegas</w:t>
      </w:r>
    </w:p>
    <w:p>
      <w:pPr>
        <w:spacing w:before="200" w:after="40"/>
        <w:jc w:val="center"/>
      </w:pPr>
      <w:r>
        <w:rPr>
          <w:rFonts w:ascii="Arial" w:hAnsi="Arial"/>
          <w:b/>
          <w:color w:val="1B365D"/>
          <w:sz w:val="44"/>
        </w:rPr>
        <w:t>SIH 2026 JURY VIVA &amp; DEMO DEFENSE GUIDE</w:t>
      </w:r>
    </w:p>
    <w:p>
      <w:pPr>
        <w:spacing w:before="0" w:after="280"/>
        <w:jc w:val="center"/>
      </w:pPr>
      <w:r>
        <w:rPr>
          <w:rFonts w:ascii="Arial" w:hAnsi="Arial"/>
          <w:b/>
          <w:color w:val="008069"/>
          <w:sz w:val="22"/>
        </w:rPr>
        <w:t>Comprehensive Master Q&amp;A Bank: All Possible Judge Questions &amp; Model Answers</w:t>
        <w:br/>
        <w:t>Smart Victim Intelligence (SVI) — SafeSpace AI Therapist</w:t>
      </w:r>
    </w:p>
    <w:tbl>
      <w:tblPr>
        <w:tblW w:type="auto" w:w="0"/>
        <w:jc w:val="center"/>
        <w:tblLook w:firstColumn="1" w:firstRow="1" w:lastColumn="0" w:lastRow="0" w:noHBand="0" w:noVBand="1" w:val="04A0"/>
      </w:tblPr>
      <w:tblGrid>
        <w:gridCol w:w="10080"/>
      </w:tblGrid>
      <w:tr>
        <w:tc>
          <w:tcPr>
            <w:tcW w:type="dxa" w:w="10080"/>
            <w:shd w:fill="F0F4F8"/>
            <w:tcMar>
              <w:top w:w="100" w:type="dxa"/>
              <w:bottom w:w="100" w:type="dxa"/>
              <w:left w:w="150" w:type="dxa"/>
              <w:right w:w="150" w:type="dxa"/>
            </w:tcMar>
            <w:tcBorders>
              <w:left w:val="single" w:sz="20" w:space="0" w:color="1B365D"/>
              <w:top w:val="none"/>
              <w:right w:val="none"/>
              <w:bottom w:val="none"/>
            </w:tcBorders>
          </w:tcPr>
          <w:p>
            <w:pPr>
              <w:spacing w:before="40" w:after="40"/>
            </w:pPr>
            <w:r>
              <w:rPr>
                <w:rFonts w:ascii="Arial" w:hAnsi="Arial"/>
                <w:b/>
                <w:color w:val="1B365D"/>
                <w:sz w:val="19"/>
              </w:rPr>
              <w:t xml:space="preserve">[JURY PRESENTATION STRATEGY] </w:t>
            </w:r>
            <w:r>
              <w:rPr>
                <w:rFonts w:ascii="Calibri" w:hAnsi="Calibri"/>
                <w:color w:val="263230"/>
                <w:sz w:val="18"/>
              </w:rPr>
              <w:t>How to use this guide: SIH judges evaluate prototypes across 7 critical dimensions: (1) Problem Validation, (2) AI/ML Depth vs Wrapper Accusation, (3) System Architecture &amp; Scalability, (4) Safety, Hallucination &amp; HITL, (5) DPDP 2023 Compliance, (6) Ministry Integration, and (7) Current Prototype Limitations. Every question below contains a 30-second crisp elevator pitch followed by in-depth technical proof points.</w:t>
            </w:r>
          </w:p>
        </w:tc>
      </w:tr>
    </w:tbl>
    <w:p>
      <w:pPr>
        <w:spacing w:after="80"/>
      </w:pPr>
    </w:p>
    <w:p>
      <w:pPr>
        <w:keepNext/>
        <w:spacing w:before="360" w:after="120"/>
        <w:pBdr>
          <w:bottom w:val="single" w:sz="12" w:space="4" w:color="1B365D"/>
        </w:pBdr>
      </w:pPr>
      <w:r>
        <w:rPr>
          <w:rFonts w:ascii="Arial" w:hAnsi="Arial"/>
          <w:b/>
          <w:color w:val="1B365D"/>
          <w:sz w:val="27"/>
        </w:rPr>
        <w:t>Category 1: Problem Statement, User Need &amp; Value Proposition</w:t>
      </w:r>
    </w:p>
    <w:tbl>
      <w:tblPr>
        <w:tblW w:type="auto" w:w="0"/>
        <w:jc w:val="center"/>
        <w:tblLook w:firstColumn="1" w:firstRow="1" w:lastColumn="0" w:lastRow="0" w:noHBand="0" w:noVBand="1" w:val="04A0"/>
      </w:tblPr>
      <w:tblGrid>
        <w:gridCol w:w="10080"/>
      </w:tblGrid>
      <w:tr>
        <w:tc>
          <w:tcPr>
            <w:tcW w:type="dxa" w:w="10080"/>
            <w:shd w:fill="FFFFFF"/>
            <w:tcMar>
              <w:top w:w="120" w:type="dxa"/>
              <w:bottom w:w="120" w:type="dxa"/>
              <w:left w:w="150" w:type="dxa"/>
              <w:right w:w="150" w:type="dxa"/>
            </w:tcMar>
            <w:tcBorders>
              <w:left w:val="single" w:sz="24" w:space="0" w:color="008069"/>
              <w:top w:val="single" w:sz="4" w:space="0" w:color="E2DFD3"/>
              <w:right w:val="single" w:sz="4" w:space="0" w:color="E2DFD3"/>
              <w:bottom w:val="single" w:sz="4" w:space="0" w:color="E2DFD3"/>
            </w:tcBorders>
          </w:tcPr>
          <w:p>
            <w:pPr>
              <w:spacing w:before="40" w:after="80"/>
            </w:pPr>
            <w:r>
              <w:rPr>
                <w:rFonts w:ascii="Arial" w:hAnsi="Arial"/>
                <w:b/>
                <w:color w:val="1B365D"/>
                <w:sz w:val="21"/>
              </w:rPr>
              <w:t xml:space="preserve">Q1: </w:t>
            </w:r>
            <w:r>
              <w:rPr>
                <w:rFonts w:ascii="Arial" w:hAnsi="Arial"/>
                <w:b/>
                <w:color w:val="263230"/>
                <w:sz w:val="21"/>
              </w:rPr>
              <w:t>Why can't a victim simply call 112 or the National Helpline (14566)? Why do we need SVI?</w:t>
            </w:r>
          </w:p>
          <w:p>
            <w:pPr>
              <w:spacing w:before="20" w:after="80"/>
            </w:pPr>
            <w:r>
              <w:rPr>
                <w:rFonts w:ascii="Calibri" w:hAnsi="Calibri"/>
                <w:b/>
                <w:color w:val="B45309"/>
                <w:sz w:val="18"/>
              </w:rPr>
              <w:t xml:space="preserve">🎯 What the Judge is Testing: </w:t>
            </w:r>
            <w:r>
              <w:rPr>
                <w:rFonts w:ascii="Calibri" w:hAnsi="Calibri"/>
                <w:i/>
                <w:color w:val="64716C"/>
                <w:sz w:val="18"/>
              </w:rPr>
              <w:t>Testing if the team understands the real ground reality of victims and existing emergency lines.</w:t>
            </w:r>
          </w:p>
          <w:p>
            <w:pPr>
              <w:spacing w:before="60" w:after="80"/>
            </w:pPr>
            <w:r>
              <w:rPr>
                <w:rFonts w:ascii="Calibri" w:hAnsi="Calibri"/>
                <w:b/>
                <w:color w:val="008069"/>
                <w:sz w:val="19"/>
              </w:rPr>
              <w:t xml:space="preserve">⚡ Winning 30-Second Pitch: </w:t>
            </w:r>
            <w:r>
              <w:rPr>
                <w:rFonts w:ascii="Calibri" w:hAnsi="Calibri"/>
                <w:color w:val="263230"/>
                <w:sz w:val="19"/>
              </w:rPr>
              <w:t>Helplines suffer from 3 major bottlenecks: long queue times during peak crisis hours, acute victim trauma/fear preventing vocal calls, and lack of automated legal/psychological triage. SVI provides zero-wait, text/voice, anonymous trauma-informed intake and acts as an intelligent triage copilot for counsellors.</w:t>
            </w:r>
          </w:p>
          <w:p>
            <w:pPr>
              <w:spacing w:before="60" w:after="80"/>
            </w:pPr>
            <w:r>
              <w:rPr>
                <w:rFonts w:ascii="Calibri" w:hAnsi="Calibri"/>
                <w:b/>
                <w:color w:val="1B365D"/>
                <w:sz w:val="19"/>
              </w:rPr>
              <w:t xml:space="preserve">🔍 In-Depth Technical Explanation: </w:t>
            </w:r>
            <w:r>
              <w:rPr>
                <w:rFonts w:ascii="Calibri" w:hAnsi="Calibri"/>
                <w:color w:val="263230"/>
                <w:sz w:val="19"/>
              </w:rPr>
              <w:t>Victims of caste-based atrocities (PoA Act) or acute domestic violence often cannot speak out loud due to perpetrators being nearby. Furthermore, traditional 14566 or 112 operators are not trained clinical psychologists; they manually assess distress while managing call logs. SVI solves this by offering an anonymous, WhatsApp-accessible conversational intake that classifies distress in real time, auto-detects legal violations under PoA/PCR Acts, and directly escalates critical cases with audio alerts to senior counsellors, reducing triage response time from hours to under 30 seconds.</w:t>
            </w:r>
          </w:p>
          <w:p>
            <w:pPr>
              <w:spacing w:before="60" w:after="20"/>
            </w:pPr>
            <w:r>
              <w:rPr>
                <w:rFonts w:ascii="Calibri" w:hAnsi="Calibri"/>
                <w:b/>
                <w:color w:val="263230"/>
                <w:sz w:val="18"/>
              </w:rPr>
              <w:t>💡 Key Proof Points / Terms to Mention:</w:t>
            </w:r>
          </w:p>
          <w:p>
            <w:pPr>
              <w:pStyle w:val="ListBullet"/>
              <w:spacing w:before="0" w:after="20"/>
              <w:ind w:left="288"/>
            </w:pPr>
            <w:r>
              <w:rPr>
                <w:rFonts w:ascii="Calibri" w:hAnsi="Calibri"/>
                <w:color w:val="263230"/>
                <w:sz w:val="17"/>
              </w:rPr>
              <w:t>Immediate zero-wait availability vs operator hold times</w:t>
            </w:r>
          </w:p>
          <w:p>
            <w:pPr>
              <w:pStyle w:val="ListBullet"/>
              <w:spacing w:before="0" w:after="20"/>
              <w:ind w:left="288"/>
            </w:pPr>
            <w:r>
              <w:rPr>
                <w:rFonts w:ascii="Calibri" w:hAnsi="Calibri"/>
                <w:color w:val="263230"/>
                <w:sz w:val="17"/>
              </w:rPr>
              <w:t>Silent WhatsApp-style text intake when vocal speaking puts victim at risk</w:t>
            </w:r>
          </w:p>
          <w:p>
            <w:pPr>
              <w:pStyle w:val="ListBullet"/>
              <w:spacing w:before="0" w:after="20"/>
              <w:ind w:left="288"/>
            </w:pPr>
            <w:r>
              <w:rPr>
                <w:rFonts w:ascii="Calibri" w:hAnsi="Calibri"/>
                <w:color w:val="263230"/>
                <w:sz w:val="17"/>
              </w:rPr>
              <w:t>Automated PoA/PCR Act legal section mapping</w:t>
            </w:r>
          </w:p>
          <w:p>
            <w:pPr>
              <w:pStyle w:val="ListBullet"/>
              <w:spacing w:before="0" w:after="20"/>
              <w:ind w:left="288"/>
            </w:pPr>
            <w:r>
              <w:rPr>
                <w:rFonts w:ascii="Calibri" w:hAnsi="Calibri"/>
                <w:color w:val="263230"/>
                <w:sz w:val="17"/>
              </w:rPr>
              <w:t>Intelligent triage prioritisation for overwhelmed helpline officers</w:t>
            </w:r>
          </w:p>
        </w:tc>
      </w:tr>
    </w:tbl>
    <w:p>
      <w:pPr>
        <w:spacing w:after="120"/>
      </w:pPr>
    </w:p>
    <w:tbl>
      <w:tblPr>
        <w:tblW w:type="auto" w:w="0"/>
        <w:jc w:val="center"/>
        <w:tblLook w:firstColumn="1" w:firstRow="1" w:lastColumn="0" w:lastRow="0" w:noHBand="0" w:noVBand="1" w:val="04A0"/>
      </w:tblPr>
      <w:tblGrid>
        <w:gridCol w:w="10080"/>
      </w:tblGrid>
      <w:tr>
        <w:tc>
          <w:tcPr>
            <w:tcW w:type="dxa" w:w="10080"/>
            <w:shd w:fill="FFFFFF"/>
            <w:tcMar>
              <w:top w:w="120" w:type="dxa"/>
              <w:bottom w:w="120" w:type="dxa"/>
              <w:left w:w="150" w:type="dxa"/>
              <w:right w:w="150" w:type="dxa"/>
            </w:tcMar>
            <w:tcBorders>
              <w:left w:val="single" w:sz="24" w:space="0" w:color="008069"/>
              <w:top w:val="single" w:sz="4" w:space="0" w:color="E2DFD3"/>
              <w:right w:val="single" w:sz="4" w:space="0" w:color="E2DFD3"/>
              <w:bottom w:val="single" w:sz="4" w:space="0" w:color="E2DFD3"/>
            </w:tcBorders>
          </w:tcPr>
          <w:p>
            <w:pPr>
              <w:spacing w:before="40" w:after="80"/>
            </w:pPr>
            <w:r>
              <w:rPr>
                <w:rFonts w:ascii="Arial" w:hAnsi="Arial"/>
                <w:b/>
                <w:color w:val="1B365D"/>
                <w:sz w:val="21"/>
              </w:rPr>
              <w:t xml:space="preserve">Q2: </w:t>
            </w:r>
            <w:r>
              <w:rPr>
                <w:rFonts w:ascii="Arial" w:hAnsi="Arial"/>
                <w:b/>
                <w:color w:val="263230"/>
                <w:sz w:val="21"/>
              </w:rPr>
              <w:t>Who are the primary end users and stakeholders of SVI?</w:t>
            </w:r>
          </w:p>
          <w:p>
            <w:pPr>
              <w:spacing w:before="20" w:after="80"/>
            </w:pPr>
            <w:r>
              <w:rPr>
                <w:rFonts w:ascii="Calibri" w:hAnsi="Calibri"/>
                <w:b/>
                <w:color w:val="B45309"/>
                <w:sz w:val="18"/>
              </w:rPr>
              <w:t xml:space="preserve">🎯 What the Judge is Testing: </w:t>
            </w:r>
            <w:r>
              <w:rPr>
                <w:rFonts w:ascii="Calibri" w:hAnsi="Calibri"/>
                <w:i/>
                <w:color w:val="64716C"/>
                <w:sz w:val="18"/>
              </w:rPr>
              <w:t>Checking if you built a toy chat app or an enterprise multi-stakeholder government portal.</w:t>
            </w:r>
          </w:p>
          <w:p>
            <w:pPr>
              <w:spacing w:before="60" w:after="80"/>
            </w:pPr>
            <w:r>
              <w:rPr>
                <w:rFonts w:ascii="Calibri" w:hAnsi="Calibri"/>
                <w:b/>
                <w:color w:val="008069"/>
                <w:sz w:val="19"/>
              </w:rPr>
              <w:t xml:space="preserve">⚡ Winning 30-Second Pitch: </w:t>
            </w:r>
            <w:r>
              <w:rPr>
                <w:rFonts w:ascii="Calibri" w:hAnsi="Calibri"/>
                <w:color w:val="263230"/>
                <w:sz w:val="19"/>
              </w:rPr>
              <w:t>SVI serves a tri-partite ecosystem: (1) Citizens/Victims seeking anonymous crisis guidance, (2) Helpline Counsellors &amp; Police Liaison Officers who need real-time triage and case history, and (3) Ministry Administrators monitoring district-level atrocity patterns.</w:t>
            </w:r>
          </w:p>
          <w:p>
            <w:pPr>
              <w:spacing w:before="60" w:after="80"/>
            </w:pPr>
            <w:r>
              <w:rPr>
                <w:rFonts w:ascii="Calibri" w:hAnsi="Calibri"/>
                <w:b/>
                <w:color w:val="1B365D"/>
                <w:sz w:val="19"/>
              </w:rPr>
              <w:t xml:space="preserve">🔍 In-Depth Technical Explanation: </w:t>
            </w:r>
            <w:r>
              <w:rPr>
                <w:rFonts w:ascii="Calibri" w:hAnsi="Calibri"/>
                <w:color w:val="263230"/>
                <w:sz w:val="19"/>
              </w:rPr>
              <w:t>Our architecture provides three distinct interfaces: (1) Citizen Portal: WhatsApp-like chat with Web Speech STT in regional languages, requiring no Aadhaar or OTP to guarantee privacy. (2) Counsellor Queue: High-density dashboard with Web Audio API alerts, risk scoring (Critical, High, Moderate, Low), sensitive transcript redaction, and Human-in-the-Loop overrides. (3) Admin Portal: De-identified macro analytics displaying SLA metrics, violation categories, and regional hot-spots without exposing PII.</w:t>
            </w:r>
          </w:p>
          <w:p>
            <w:pPr>
              <w:spacing w:before="60" w:after="20"/>
            </w:pPr>
            <w:r>
              <w:rPr>
                <w:rFonts w:ascii="Calibri" w:hAnsi="Calibri"/>
                <w:b/>
                <w:color w:val="263230"/>
                <w:sz w:val="18"/>
              </w:rPr>
              <w:t>💡 Key Proof Points / Terms to Mention:</w:t>
            </w:r>
          </w:p>
          <w:p>
            <w:pPr>
              <w:pStyle w:val="ListBullet"/>
              <w:spacing w:before="0" w:after="20"/>
              <w:ind w:left="288"/>
            </w:pPr>
            <w:r>
              <w:rPr>
                <w:rFonts w:ascii="Calibri" w:hAnsi="Calibri"/>
                <w:color w:val="263230"/>
                <w:sz w:val="17"/>
              </w:rPr>
              <w:t>Citizens / Complainants (Anonymous, low barrier to entry)</w:t>
            </w:r>
          </w:p>
          <w:p>
            <w:pPr>
              <w:pStyle w:val="ListBullet"/>
              <w:spacing w:before="0" w:after="20"/>
              <w:ind w:left="288"/>
            </w:pPr>
            <w:r>
              <w:rPr>
                <w:rFonts w:ascii="Calibri" w:hAnsi="Calibri"/>
                <w:color w:val="263230"/>
                <w:sz w:val="17"/>
              </w:rPr>
              <w:t>Counsellors / Legal Aid Officers (NHAA 14566 / Tele-MANAS 14416)</w:t>
            </w:r>
          </w:p>
          <w:p>
            <w:pPr>
              <w:pStyle w:val="ListBullet"/>
              <w:spacing w:before="0" w:after="20"/>
              <w:ind w:left="288"/>
            </w:pPr>
            <w:r>
              <w:rPr>
                <w:rFonts w:ascii="Calibri" w:hAnsi="Calibri"/>
                <w:color w:val="263230"/>
                <w:sz w:val="17"/>
              </w:rPr>
              <w:t>Ministry Administrators (Policy, resource allocation, district trends)</w:t>
            </w:r>
          </w:p>
        </w:tc>
      </w:tr>
    </w:tbl>
    <w:p>
      <w:pPr>
        <w:spacing w:after="120"/>
      </w:pPr>
    </w:p>
    <w:p>
      <w:pPr>
        <w:keepNext/>
        <w:spacing w:before="360" w:after="120"/>
        <w:pBdr>
          <w:bottom w:val="single" w:sz="12" w:space="4" w:color="1B365D"/>
        </w:pBdr>
      </w:pPr>
      <w:r>
        <w:rPr>
          <w:rFonts w:ascii="Arial" w:hAnsi="Arial"/>
          <w:b/>
          <w:color w:val="1B365D"/>
          <w:sz w:val="27"/>
        </w:rPr>
        <w:t>Category 2: AI / ML Innovation &amp; The 'Is It Just a ChatGPT Wrapper?' Question</w:t>
      </w:r>
    </w:p>
    <w:tbl>
      <w:tblPr>
        <w:tblW w:type="auto" w:w="0"/>
        <w:jc w:val="center"/>
        <w:tblLook w:firstColumn="1" w:firstRow="1" w:lastColumn="0" w:lastRow="0" w:noHBand="0" w:noVBand="1" w:val="04A0"/>
      </w:tblPr>
      <w:tblGrid>
        <w:gridCol w:w="10080"/>
      </w:tblGrid>
      <w:tr>
        <w:tc>
          <w:tcPr>
            <w:tcW w:type="dxa" w:w="10080"/>
            <w:shd w:fill="FFFFFF"/>
            <w:tcMar>
              <w:top w:w="120" w:type="dxa"/>
              <w:bottom w:w="120" w:type="dxa"/>
              <w:left w:w="150" w:type="dxa"/>
              <w:right w:w="150" w:type="dxa"/>
            </w:tcMar>
            <w:tcBorders>
              <w:left w:val="single" w:sz="24" w:space="0" w:color="008069"/>
              <w:top w:val="single" w:sz="4" w:space="0" w:color="E2DFD3"/>
              <w:right w:val="single" w:sz="4" w:space="0" w:color="E2DFD3"/>
              <w:bottom w:val="single" w:sz="4" w:space="0" w:color="E2DFD3"/>
            </w:tcBorders>
          </w:tcPr>
          <w:p>
            <w:pPr>
              <w:spacing w:before="40" w:after="80"/>
            </w:pPr>
            <w:r>
              <w:rPr>
                <w:rFonts w:ascii="Arial" w:hAnsi="Arial"/>
                <w:b/>
                <w:color w:val="1B365D"/>
                <w:sz w:val="21"/>
              </w:rPr>
              <w:t xml:space="preserve">Q3: </w:t>
            </w:r>
            <w:r>
              <w:rPr>
                <w:rFonts w:ascii="Arial" w:hAnsi="Arial"/>
                <w:b/>
                <w:color w:val="263230"/>
                <w:sz w:val="21"/>
              </w:rPr>
              <w:t>Is this just a wrapper around Groq / OpenAI API? What is your actual technical innovation?</w:t>
            </w:r>
          </w:p>
          <w:p>
            <w:pPr>
              <w:spacing w:before="20" w:after="80"/>
            </w:pPr>
            <w:r>
              <w:rPr>
                <w:rFonts w:ascii="Calibri" w:hAnsi="Calibri"/>
                <w:b/>
                <w:color w:val="B45309"/>
                <w:sz w:val="18"/>
              </w:rPr>
              <w:t xml:space="preserve">🎯 What the Judge is Testing: </w:t>
            </w:r>
            <w:r>
              <w:rPr>
                <w:rFonts w:ascii="Calibri" w:hAnsi="Calibri"/>
                <w:i/>
                <w:color w:val="64716C"/>
                <w:sz w:val="18"/>
              </w:rPr>
              <w:t>CRITICAL QUESTION: Judges will try to dismiss the project as a simple API wrapper. You must emphasize LangGraph, MedGemma, and tool orchestration.</w:t>
            </w:r>
          </w:p>
          <w:p>
            <w:pPr>
              <w:spacing w:before="60" w:after="80"/>
            </w:pPr>
            <w:r>
              <w:rPr>
                <w:rFonts w:ascii="Calibri" w:hAnsi="Calibri"/>
                <w:b/>
                <w:color w:val="008069"/>
                <w:sz w:val="19"/>
              </w:rPr>
              <w:t xml:space="preserve">⚡ Winning 30-Second Pitch: </w:t>
            </w:r>
            <w:r>
              <w:rPr>
                <w:rFonts w:ascii="Calibri" w:hAnsi="Calibri"/>
                <w:color w:val="263230"/>
                <w:sz w:val="19"/>
              </w:rPr>
              <w:t>No, SVI is a multi-tier agentic architecture. We combine LangGraph ReAct orchestration with an ensemble of high-speed reasoning (Groq 120B), a locally-hosted fine-tuned clinical medical model (MedGemma 4B on Ollama), automated telephony triggers (Twilio Voice), and a deterministic risk assessment engine.</w:t>
            </w:r>
          </w:p>
          <w:p>
            <w:pPr>
              <w:spacing w:before="60" w:after="80"/>
            </w:pPr>
            <w:r>
              <w:rPr>
                <w:rFonts w:ascii="Calibri" w:hAnsi="Calibri"/>
                <w:b/>
                <w:color w:val="1B365D"/>
                <w:sz w:val="19"/>
              </w:rPr>
              <w:t xml:space="preserve">🔍 In-Depth Technical Explanation: </w:t>
            </w:r>
            <w:r>
              <w:rPr>
                <w:rFonts w:ascii="Calibri" w:hAnsi="Calibri"/>
                <w:color w:val="263230"/>
                <w:sz w:val="19"/>
              </w:rPr>
              <w:t>A standard API wrapper sends a prompt and prints text. SVI implements: (1) LangGraph ReAct state machine that dynamically chooses between therapeutic dialogue, emergency telephony dispatch, and local clinic directory retrieval; (2) Dual-model hierarchy where Groq handles high-speed reasoning and tool decisions, while MedGemma 4B (Dr. Emily Hartman persona) provides specialized clinical psychology grounding; (3) Multi-modal triage pipeline combining semantic NLP extraction with acoustic vocal metrics (tremors, pitch instability); (4) Strict Indian regulatory guardrails restricting advice to 112, 14566, and Tele-MANAS.</w:t>
            </w:r>
          </w:p>
          <w:p>
            <w:pPr>
              <w:spacing w:before="60" w:after="20"/>
            </w:pPr>
            <w:r>
              <w:rPr>
                <w:rFonts w:ascii="Calibri" w:hAnsi="Calibri"/>
                <w:b/>
                <w:color w:val="263230"/>
                <w:sz w:val="18"/>
              </w:rPr>
              <w:t>💡 Key Proof Points / Terms to Mention:</w:t>
            </w:r>
          </w:p>
          <w:p>
            <w:pPr>
              <w:pStyle w:val="ListBullet"/>
              <w:spacing w:before="0" w:after="20"/>
              <w:ind w:left="288"/>
            </w:pPr>
            <w:r>
              <w:rPr>
                <w:rFonts w:ascii="Calibri" w:hAnsi="Calibri"/>
                <w:color w:val="263230"/>
                <w:sz w:val="17"/>
              </w:rPr>
              <w:t>LangGraph ReAct multi-tool state machine</w:t>
            </w:r>
          </w:p>
          <w:p>
            <w:pPr>
              <w:pStyle w:val="ListBullet"/>
              <w:spacing w:before="0" w:after="20"/>
              <w:ind w:left="288"/>
            </w:pPr>
            <w:r>
              <w:rPr>
                <w:rFonts w:ascii="Calibri" w:hAnsi="Calibri"/>
                <w:color w:val="263230"/>
                <w:sz w:val="17"/>
              </w:rPr>
              <w:t>Local Ollama MedGemma 4B integration for clinical therapy</w:t>
            </w:r>
          </w:p>
          <w:p>
            <w:pPr>
              <w:pStyle w:val="ListBullet"/>
              <w:spacing w:before="0" w:after="20"/>
              <w:ind w:left="288"/>
            </w:pPr>
            <w:r>
              <w:rPr>
                <w:rFonts w:ascii="Calibri" w:hAnsi="Calibri"/>
                <w:color w:val="263230"/>
                <w:sz w:val="17"/>
              </w:rPr>
              <w:t>Autonomous Twilio outbound telephony dispatch</w:t>
            </w:r>
          </w:p>
          <w:p>
            <w:pPr>
              <w:pStyle w:val="ListBullet"/>
              <w:spacing w:before="0" w:after="20"/>
              <w:ind w:left="288"/>
            </w:pPr>
            <w:r>
              <w:rPr>
                <w:rFonts w:ascii="Calibri" w:hAnsi="Calibri"/>
                <w:color w:val="263230"/>
                <w:sz w:val="17"/>
              </w:rPr>
              <w:t>Ensemble combining NLP legal extraction + acoustic tremor indicators</w:t>
            </w:r>
          </w:p>
        </w:tc>
      </w:tr>
    </w:tbl>
    <w:p>
      <w:pPr>
        <w:spacing w:after="120"/>
      </w:pPr>
    </w:p>
    <w:tbl>
      <w:tblPr>
        <w:tblW w:type="auto" w:w="0"/>
        <w:jc w:val="center"/>
        <w:tblLook w:firstColumn="1" w:firstRow="1" w:lastColumn="0" w:lastRow="0" w:noHBand="0" w:noVBand="1" w:val="04A0"/>
      </w:tblPr>
      <w:tblGrid>
        <w:gridCol w:w="10080"/>
      </w:tblGrid>
      <w:tr>
        <w:tc>
          <w:tcPr>
            <w:tcW w:type="dxa" w:w="10080"/>
            <w:shd w:fill="FFFFFF"/>
            <w:tcMar>
              <w:top w:w="120" w:type="dxa"/>
              <w:bottom w:w="120" w:type="dxa"/>
              <w:left w:w="150" w:type="dxa"/>
              <w:right w:w="150" w:type="dxa"/>
            </w:tcMar>
            <w:tcBorders>
              <w:left w:val="single" w:sz="24" w:space="0" w:color="008069"/>
              <w:top w:val="single" w:sz="4" w:space="0" w:color="E2DFD3"/>
              <w:right w:val="single" w:sz="4" w:space="0" w:color="E2DFD3"/>
              <w:bottom w:val="single" w:sz="4" w:space="0" w:color="E2DFD3"/>
            </w:tcBorders>
          </w:tcPr>
          <w:p>
            <w:pPr>
              <w:spacing w:before="40" w:after="80"/>
            </w:pPr>
            <w:r>
              <w:rPr>
                <w:rFonts w:ascii="Arial" w:hAnsi="Arial"/>
                <w:b/>
                <w:color w:val="1B365D"/>
                <w:sz w:val="21"/>
              </w:rPr>
              <w:t xml:space="preserve">Q4: </w:t>
            </w:r>
            <w:r>
              <w:rPr>
                <w:rFonts w:ascii="Arial" w:hAnsi="Arial"/>
                <w:b/>
                <w:color w:val="263230"/>
                <w:sz w:val="21"/>
              </w:rPr>
              <w:t>How does your risk scoring and atrocity classification actually work?</w:t>
            </w:r>
          </w:p>
          <w:p>
            <w:pPr>
              <w:spacing w:before="20" w:after="80"/>
            </w:pPr>
            <w:r>
              <w:rPr>
                <w:rFonts w:ascii="Calibri" w:hAnsi="Calibri"/>
                <w:b/>
                <w:color w:val="B45309"/>
                <w:sz w:val="18"/>
              </w:rPr>
              <w:t xml:space="preserve">🎯 What the Judge is Testing: </w:t>
            </w:r>
            <w:r>
              <w:rPr>
                <w:rFonts w:ascii="Calibri" w:hAnsi="Calibri"/>
                <w:i/>
                <w:color w:val="64716C"/>
                <w:sz w:val="18"/>
              </w:rPr>
              <w:t>Testing if you have a structured algorithmic logic behind the risk score.</w:t>
            </w:r>
          </w:p>
          <w:p>
            <w:pPr>
              <w:spacing w:before="60" w:after="80"/>
            </w:pPr>
            <w:r>
              <w:rPr>
                <w:rFonts w:ascii="Calibri" w:hAnsi="Calibri"/>
                <w:b/>
                <w:color w:val="008069"/>
                <w:sz w:val="19"/>
              </w:rPr>
              <w:t xml:space="preserve">⚡ Winning 30-Second Pitch: </w:t>
            </w:r>
            <w:r>
              <w:rPr>
                <w:rFonts w:ascii="Calibri" w:hAnsi="Calibri"/>
                <w:color w:val="263230"/>
                <w:sz w:val="19"/>
              </w:rPr>
              <w:t>SVI utilizes a hybrid scoring mechanism: semantic violation extraction (identifying PoA Act Sec 3 provisions like humiliation, assault, boycott), emotional distress scoring, and acoustic signal confidence. Together, they generate a 0-100 composite risk score categorized into Critical, High, Moderate, or Low.</w:t>
            </w:r>
          </w:p>
          <w:p>
            <w:pPr>
              <w:spacing w:before="60" w:after="80"/>
            </w:pPr>
            <w:r>
              <w:rPr>
                <w:rFonts w:ascii="Calibri" w:hAnsi="Calibri"/>
                <w:b/>
                <w:color w:val="1B365D"/>
                <w:sz w:val="19"/>
              </w:rPr>
              <w:t xml:space="preserve">🔍 In-Depth Technical Explanation: </w:t>
            </w:r>
            <w:r>
              <w:rPr>
                <w:rFonts w:ascii="Calibri" w:hAnsi="Calibri"/>
                <w:color w:val="263230"/>
                <w:sz w:val="19"/>
              </w:rPr>
              <w:t>When a complaint arrives: (1) Named Entity Recognition and regex pattern matchers identify statutory keywords (e.g., 'जातिसूचक शब्द', 'घर से निकाला', 'धमकी'); (2) The LLM assesses acute suicide/harm intent and maps incident context to PoA/PCR Act sections; (3) When voice is enabled, acoustic features (pitch variance, jitter, shimmer) compute a tremor score; (4) The weighted composite score is computed: RiskScore = (0.45 * ThreatIntent) + (0.35 * LegalSeverity) + (0.20 * VocalTremor). Scores &gt;= 85 trigger Critical status with immediate audio alarms.</w:t>
            </w:r>
          </w:p>
          <w:p>
            <w:pPr>
              <w:spacing w:before="60" w:after="20"/>
            </w:pPr>
            <w:r>
              <w:rPr>
                <w:rFonts w:ascii="Calibri" w:hAnsi="Calibri"/>
                <w:b/>
                <w:color w:val="263230"/>
                <w:sz w:val="18"/>
              </w:rPr>
              <w:t>💡 Key Proof Points / Terms to Mention:</w:t>
            </w:r>
          </w:p>
          <w:p>
            <w:pPr>
              <w:pStyle w:val="ListBullet"/>
              <w:spacing w:before="0" w:after="20"/>
              <w:ind w:left="288"/>
            </w:pPr>
            <w:r>
              <w:rPr>
                <w:rFonts w:ascii="Calibri" w:hAnsi="Calibri"/>
                <w:color w:val="263230"/>
                <w:sz w:val="17"/>
              </w:rPr>
              <w:t>Composite formula combining Intent + Legal Severity + Vocal Tremor</w:t>
            </w:r>
          </w:p>
          <w:p>
            <w:pPr>
              <w:pStyle w:val="ListBullet"/>
              <w:spacing w:before="0" w:after="20"/>
              <w:ind w:left="288"/>
            </w:pPr>
            <w:r>
              <w:rPr>
                <w:rFonts w:ascii="Calibri" w:hAnsi="Calibri"/>
                <w:color w:val="263230"/>
                <w:sz w:val="17"/>
              </w:rPr>
              <w:t>PoA Act 1989 Section 3 &amp; PCR Act 1955 Section 7 mapping</w:t>
            </w:r>
          </w:p>
          <w:p>
            <w:pPr>
              <w:pStyle w:val="ListBullet"/>
              <w:spacing w:before="0" w:after="20"/>
              <w:ind w:left="288"/>
            </w:pPr>
            <w:r>
              <w:rPr>
                <w:rFonts w:ascii="Calibri" w:hAnsi="Calibri"/>
                <w:color w:val="263230"/>
                <w:sz w:val="17"/>
              </w:rPr>
              <w:t>Threshold-based routing: Critical (&gt;=85), High (70-84), Moderate (45-69), Low (&lt;45)</w:t>
            </w:r>
          </w:p>
        </w:tc>
      </w:tr>
    </w:tbl>
    <w:p>
      <w:pPr>
        <w:spacing w:after="120"/>
      </w:pPr>
    </w:p>
    <w:tbl>
      <w:tblPr>
        <w:tblW w:type="auto" w:w="0"/>
        <w:jc w:val="center"/>
        <w:tblLook w:firstColumn="1" w:firstRow="1" w:lastColumn="0" w:lastRow="0" w:noHBand="0" w:noVBand="1" w:val="04A0"/>
      </w:tblPr>
      <w:tblGrid>
        <w:gridCol w:w="10080"/>
      </w:tblGrid>
      <w:tr>
        <w:tc>
          <w:tcPr>
            <w:tcW w:type="dxa" w:w="10080"/>
            <w:shd w:fill="FFFFFF"/>
            <w:tcMar>
              <w:top w:w="120" w:type="dxa"/>
              <w:bottom w:w="120" w:type="dxa"/>
              <w:left w:w="150" w:type="dxa"/>
              <w:right w:w="150" w:type="dxa"/>
            </w:tcMar>
            <w:tcBorders>
              <w:left w:val="single" w:sz="24" w:space="0" w:color="008069"/>
              <w:top w:val="single" w:sz="4" w:space="0" w:color="E2DFD3"/>
              <w:right w:val="single" w:sz="4" w:space="0" w:color="E2DFD3"/>
              <w:bottom w:val="single" w:sz="4" w:space="0" w:color="E2DFD3"/>
            </w:tcBorders>
          </w:tcPr>
          <w:p>
            <w:pPr>
              <w:spacing w:before="40" w:after="80"/>
            </w:pPr>
            <w:r>
              <w:rPr>
                <w:rFonts w:ascii="Arial" w:hAnsi="Arial"/>
                <w:b/>
                <w:color w:val="1B365D"/>
                <w:sz w:val="21"/>
              </w:rPr>
              <w:t xml:space="preserve">Q5: </w:t>
            </w:r>
            <w:r>
              <w:rPr>
                <w:rFonts w:ascii="Arial" w:hAnsi="Arial"/>
                <w:b/>
                <w:color w:val="263230"/>
                <w:sz w:val="21"/>
              </w:rPr>
              <w:t>Why did you use MedGemma 4B locally alongside Groq? Why not just use one model?</w:t>
            </w:r>
          </w:p>
          <w:p>
            <w:pPr>
              <w:spacing w:before="20" w:after="80"/>
            </w:pPr>
            <w:r>
              <w:rPr>
                <w:rFonts w:ascii="Calibri" w:hAnsi="Calibri"/>
                <w:b/>
                <w:color w:val="B45309"/>
                <w:sz w:val="18"/>
              </w:rPr>
              <w:t xml:space="preserve">🎯 What the Judge is Testing: </w:t>
            </w:r>
            <w:r>
              <w:rPr>
                <w:rFonts w:ascii="Calibri" w:hAnsi="Calibri"/>
                <w:i/>
                <w:color w:val="64716C"/>
                <w:sz w:val="18"/>
              </w:rPr>
              <w:t>Demonstrates architectural maturity and defense in depth.</w:t>
            </w:r>
          </w:p>
          <w:p>
            <w:pPr>
              <w:spacing w:before="60" w:after="80"/>
            </w:pPr>
            <w:r>
              <w:rPr>
                <w:rFonts w:ascii="Calibri" w:hAnsi="Calibri"/>
                <w:b/>
                <w:color w:val="008069"/>
                <w:sz w:val="19"/>
              </w:rPr>
              <w:t xml:space="preserve">⚡ Winning 30-Second Pitch: </w:t>
            </w:r>
            <w:r>
              <w:rPr>
                <w:rFonts w:ascii="Calibri" w:hAnsi="Calibri"/>
                <w:color w:val="263230"/>
                <w:sz w:val="19"/>
              </w:rPr>
              <w:t>Data privacy and specialized medical domain knowledge. General LLMs frequently hallucinate or give bland generic answers. MedGemma is specifically trained on medical and psychological dialogue, and running it locally ensures sensitive clinical reasoning remains on-premise.</w:t>
            </w:r>
          </w:p>
          <w:p>
            <w:pPr>
              <w:spacing w:before="60" w:after="80"/>
            </w:pPr>
            <w:r>
              <w:rPr>
                <w:rFonts w:ascii="Calibri" w:hAnsi="Calibri"/>
                <w:b/>
                <w:color w:val="1B365D"/>
                <w:sz w:val="19"/>
              </w:rPr>
              <w:t xml:space="preserve">🔍 In-Depth Technical Explanation: </w:t>
            </w:r>
            <w:r>
              <w:rPr>
                <w:rFonts w:ascii="Calibri" w:hAnsi="Calibri"/>
                <w:color w:val="263230"/>
                <w:sz w:val="19"/>
              </w:rPr>
              <w:t>In healthcare and trauma triage, general-purpose LLMs lack clinical bedside manner; they often jump to dismissive disclaimers. MedGemma 4B, fine-tuned on evidence-based mental health datasets, follows clinical attunement principles (gentle normalization, emotional grounding, open-ended trauma inquiry). Using Groq for the top-level ReAct routing allows sub-second latency, while delegating sensitive psychological guidance to MedGemma preserves specialized domain care and on-premise data sovereignty.</w:t>
            </w:r>
          </w:p>
          <w:p>
            <w:pPr>
              <w:spacing w:before="60" w:after="20"/>
            </w:pPr>
            <w:r>
              <w:rPr>
                <w:rFonts w:ascii="Calibri" w:hAnsi="Calibri"/>
                <w:b/>
                <w:color w:val="263230"/>
                <w:sz w:val="18"/>
              </w:rPr>
              <w:t>💡 Key Proof Points / Terms to Mention:</w:t>
            </w:r>
          </w:p>
          <w:p>
            <w:pPr>
              <w:pStyle w:val="ListBullet"/>
              <w:spacing w:before="0" w:after="20"/>
              <w:ind w:left="288"/>
            </w:pPr>
            <w:r>
              <w:rPr>
                <w:rFonts w:ascii="Calibri" w:hAnsi="Calibri"/>
                <w:color w:val="263230"/>
                <w:sz w:val="17"/>
              </w:rPr>
              <w:t>Domain-specific psychiatric training vs generic LLM responses</w:t>
            </w:r>
          </w:p>
          <w:p>
            <w:pPr>
              <w:pStyle w:val="ListBullet"/>
              <w:spacing w:before="0" w:after="20"/>
              <w:ind w:left="288"/>
            </w:pPr>
            <w:r>
              <w:rPr>
                <w:rFonts w:ascii="Calibri" w:hAnsi="Calibri"/>
                <w:color w:val="263230"/>
                <w:sz w:val="17"/>
              </w:rPr>
              <w:t>Edge / On-premise deployment capability for sensitive citizen conversations</w:t>
            </w:r>
          </w:p>
          <w:p>
            <w:pPr>
              <w:pStyle w:val="ListBullet"/>
              <w:spacing w:before="0" w:after="20"/>
              <w:ind w:left="288"/>
            </w:pPr>
            <w:r>
              <w:rPr>
                <w:rFonts w:ascii="Calibri" w:hAnsi="Calibri"/>
                <w:color w:val="263230"/>
                <w:sz w:val="17"/>
              </w:rPr>
              <w:t>Two-tier latency optimization: Fast ReAct routing + Specialized clinical generator</w:t>
            </w:r>
          </w:p>
        </w:tc>
      </w:tr>
    </w:tbl>
    <w:p>
      <w:pPr>
        <w:spacing w:after="120"/>
      </w:pPr>
    </w:p>
    <w:p>
      <w:pPr>
        <w:keepNext/>
        <w:spacing w:before="360" w:after="120"/>
        <w:pBdr>
          <w:bottom w:val="single" w:sz="12" w:space="4" w:color="1B365D"/>
        </w:pBdr>
      </w:pPr>
      <w:r>
        <w:rPr>
          <w:rFonts w:ascii="Arial" w:hAnsi="Arial"/>
          <w:b/>
          <w:color w:val="1B365D"/>
          <w:sz w:val="27"/>
        </w:rPr>
        <w:t>Category 3: System Architecture, Latency &amp; Scalability</w:t>
      </w:r>
    </w:p>
    <w:tbl>
      <w:tblPr>
        <w:tblW w:type="auto" w:w="0"/>
        <w:jc w:val="center"/>
        <w:tblLook w:firstColumn="1" w:firstRow="1" w:lastColumn="0" w:lastRow="0" w:noHBand="0" w:noVBand="1" w:val="04A0"/>
      </w:tblPr>
      <w:tblGrid>
        <w:gridCol w:w="10080"/>
      </w:tblGrid>
      <w:tr>
        <w:tc>
          <w:tcPr>
            <w:tcW w:type="dxa" w:w="10080"/>
            <w:shd w:fill="FFFFFF"/>
            <w:tcMar>
              <w:top w:w="120" w:type="dxa"/>
              <w:bottom w:w="120" w:type="dxa"/>
              <w:left w:w="150" w:type="dxa"/>
              <w:right w:w="150" w:type="dxa"/>
            </w:tcMar>
            <w:tcBorders>
              <w:left w:val="single" w:sz="24" w:space="0" w:color="008069"/>
              <w:top w:val="single" w:sz="4" w:space="0" w:color="E2DFD3"/>
              <w:right w:val="single" w:sz="4" w:space="0" w:color="E2DFD3"/>
              <w:bottom w:val="single" w:sz="4" w:space="0" w:color="E2DFD3"/>
            </w:tcBorders>
          </w:tcPr>
          <w:p>
            <w:pPr>
              <w:spacing w:before="40" w:after="80"/>
            </w:pPr>
            <w:r>
              <w:rPr>
                <w:rFonts w:ascii="Arial" w:hAnsi="Arial"/>
                <w:b/>
                <w:color w:val="1B365D"/>
                <w:sz w:val="21"/>
              </w:rPr>
              <w:t xml:space="preserve">Q6: </w:t>
            </w:r>
            <w:r>
              <w:rPr>
                <w:rFonts w:ascii="Arial" w:hAnsi="Arial"/>
                <w:b/>
                <w:color w:val="263230"/>
                <w:sz w:val="21"/>
              </w:rPr>
              <w:t>What happens when 50,000 citizens access SVI during a widespread civil incident or disaster?</w:t>
            </w:r>
          </w:p>
          <w:p>
            <w:pPr>
              <w:spacing w:before="20" w:after="80"/>
            </w:pPr>
            <w:r>
              <w:rPr>
                <w:rFonts w:ascii="Calibri" w:hAnsi="Calibri"/>
                <w:b/>
                <w:color w:val="B45309"/>
                <w:sz w:val="18"/>
              </w:rPr>
              <w:t xml:space="preserve">🎯 What the Judge is Testing: </w:t>
            </w:r>
            <w:r>
              <w:rPr>
                <w:rFonts w:ascii="Calibri" w:hAnsi="Calibri"/>
                <w:i/>
                <w:color w:val="64716C"/>
                <w:sz w:val="18"/>
              </w:rPr>
              <w:t>Assessing production-readiness and high-availability architecture.</w:t>
            </w:r>
          </w:p>
          <w:p>
            <w:pPr>
              <w:spacing w:before="60" w:after="80"/>
            </w:pPr>
            <w:r>
              <w:rPr>
                <w:rFonts w:ascii="Calibri" w:hAnsi="Calibri"/>
                <w:b/>
                <w:color w:val="008069"/>
                <w:sz w:val="19"/>
              </w:rPr>
              <w:t xml:space="preserve">⚡ Winning 30-Second Pitch: </w:t>
            </w:r>
            <w:r>
              <w:rPr>
                <w:rFonts w:ascii="Calibri" w:hAnsi="Calibri"/>
                <w:color w:val="263230"/>
                <w:sz w:val="19"/>
              </w:rPr>
              <w:t>Our architecture decouples synchronous client intake from LLM inference using Next.js edge caching and serverless API proxies, backed by asynchronous FastAPI workers. If inference experiences queues, deterministic instant helplines (112, 14566) are rendered within 50ms without waiting for AI.</w:t>
            </w:r>
          </w:p>
          <w:p>
            <w:pPr>
              <w:spacing w:before="60" w:after="80"/>
            </w:pPr>
            <w:r>
              <w:rPr>
                <w:rFonts w:ascii="Calibri" w:hAnsi="Calibri"/>
                <w:b/>
                <w:color w:val="1B365D"/>
                <w:sz w:val="19"/>
              </w:rPr>
              <w:t xml:space="preserve">🔍 In-Depth Technical Explanation: </w:t>
            </w:r>
            <w:r>
              <w:rPr>
                <w:rFonts w:ascii="Calibri" w:hAnsi="Calibri"/>
                <w:color w:val="263230"/>
                <w:sz w:val="19"/>
              </w:rPr>
              <w:t>On the frontend, Next.js handles static asset delivery via CDN edge nodes, reducing server load. On the backend, FastAPI's asynchronous ASGI architecture handles thousands of concurrent I/O-bound connections. In production, LangGraph requests are queued via Celery + Redis, while client polling or WebSocket streams deliver real-time chunks. Furthermore, our multi-tiered fallback architecture ensures that even during total backend failure, Next.js routes and client components immediately serve hardcoded, verified government helpline cards.</w:t>
            </w:r>
          </w:p>
          <w:p>
            <w:pPr>
              <w:spacing w:before="60" w:after="20"/>
            </w:pPr>
            <w:r>
              <w:rPr>
                <w:rFonts w:ascii="Calibri" w:hAnsi="Calibri"/>
                <w:b/>
                <w:color w:val="263230"/>
                <w:sz w:val="18"/>
              </w:rPr>
              <w:t>💡 Key Proof Points / Terms to Mention:</w:t>
            </w:r>
          </w:p>
          <w:p>
            <w:pPr>
              <w:pStyle w:val="ListBullet"/>
              <w:spacing w:before="0" w:after="20"/>
              <w:ind w:left="288"/>
            </w:pPr>
            <w:r>
              <w:rPr>
                <w:rFonts w:ascii="Calibri" w:hAnsi="Calibri"/>
                <w:color w:val="263230"/>
                <w:sz w:val="17"/>
              </w:rPr>
              <w:t>Asynchronous FastAPI with Uvicorn ASGI event loop</w:t>
            </w:r>
          </w:p>
          <w:p>
            <w:pPr>
              <w:pStyle w:val="ListBullet"/>
              <w:spacing w:before="0" w:after="20"/>
              <w:ind w:left="288"/>
            </w:pPr>
            <w:r>
              <w:rPr>
                <w:rFonts w:ascii="Calibri" w:hAnsi="Calibri"/>
                <w:color w:val="263230"/>
                <w:sz w:val="17"/>
              </w:rPr>
              <w:t>Zero-dependency client-side emergency ribbons (50ms render)</w:t>
            </w:r>
          </w:p>
          <w:p>
            <w:pPr>
              <w:pStyle w:val="ListBullet"/>
              <w:spacing w:before="0" w:after="20"/>
              <w:ind w:left="288"/>
            </w:pPr>
            <w:r>
              <w:rPr>
                <w:rFonts w:ascii="Calibri" w:hAnsi="Calibri"/>
                <w:color w:val="263230"/>
                <w:sz w:val="17"/>
              </w:rPr>
              <w:t>Horizontal scalability via containerized Docker pods &amp; Redis queues</w:t>
            </w:r>
          </w:p>
          <w:p>
            <w:pPr>
              <w:pStyle w:val="ListBullet"/>
              <w:spacing w:before="0" w:after="20"/>
              <w:ind w:left="288"/>
            </w:pPr>
            <w:r>
              <w:rPr>
                <w:rFonts w:ascii="Calibri" w:hAnsi="Calibri"/>
                <w:color w:val="263230"/>
                <w:sz w:val="17"/>
              </w:rPr>
              <w:t>Graceful degradation: Client fallback cards when network stalls</w:t>
            </w:r>
          </w:p>
        </w:tc>
      </w:tr>
    </w:tbl>
    <w:p>
      <w:pPr>
        <w:spacing w:after="120"/>
      </w:pPr>
    </w:p>
    <w:tbl>
      <w:tblPr>
        <w:tblW w:type="auto" w:w="0"/>
        <w:jc w:val="center"/>
        <w:tblLook w:firstColumn="1" w:firstRow="1" w:lastColumn="0" w:lastRow="0" w:noHBand="0" w:noVBand="1" w:val="04A0"/>
      </w:tblPr>
      <w:tblGrid>
        <w:gridCol w:w="10080"/>
      </w:tblGrid>
      <w:tr>
        <w:tc>
          <w:tcPr>
            <w:tcW w:type="dxa" w:w="10080"/>
            <w:shd w:fill="FFFFFF"/>
            <w:tcMar>
              <w:top w:w="120" w:type="dxa"/>
              <w:bottom w:w="120" w:type="dxa"/>
              <w:left w:w="150" w:type="dxa"/>
              <w:right w:w="150" w:type="dxa"/>
            </w:tcMar>
            <w:tcBorders>
              <w:left w:val="single" w:sz="24" w:space="0" w:color="008069"/>
              <w:top w:val="single" w:sz="4" w:space="0" w:color="E2DFD3"/>
              <w:right w:val="single" w:sz="4" w:space="0" w:color="E2DFD3"/>
              <w:bottom w:val="single" w:sz="4" w:space="0" w:color="E2DFD3"/>
            </w:tcBorders>
          </w:tcPr>
          <w:p>
            <w:pPr>
              <w:spacing w:before="40" w:after="80"/>
            </w:pPr>
            <w:r>
              <w:rPr>
                <w:rFonts w:ascii="Arial" w:hAnsi="Arial"/>
                <w:b/>
                <w:color w:val="1B365D"/>
                <w:sz w:val="21"/>
              </w:rPr>
              <w:t xml:space="preserve">Q7: </w:t>
            </w:r>
            <w:r>
              <w:rPr>
                <w:rFonts w:ascii="Arial" w:hAnsi="Arial"/>
                <w:b/>
                <w:color w:val="263230"/>
                <w:sz w:val="21"/>
              </w:rPr>
              <w:t>What is your end-to-end response latency from citizen input to therapeutic reply?</w:t>
            </w:r>
          </w:p>
          <w:p>
            <w:pPr>
              <w:spacing w:before="20" w:after="80"/>
            </w:pPr>
            <w:r>
              <w:rPr>
                <w:rFonts w:ascii="Calibri" w:hAnsi="Calibri"/>
                <w:b/>
                <w:color w:val="B45309"/>
                <w:sz w:val="18"/>
              </w:rPr>
              <w:t xml:space="preserve">🎯 What the Judge is Testing: </w:t>
            </w:r>
            <w:r>
              <w:rPr>
                <w:rFonts w:ascii="Calibri" w:hAnsi="Calibri"/>
                <w:i/>
                <w:color w:val="64716C"/>
                <w:sz w:val="18"/>
              </w:rPr>
              <w:t>Validating real-time conversational viability.</w:t>
            </w:r>
          </w:p>
          <w:p>
            <w:pPr>
              <w:spacing w:before="60" w:after="80"/>
            </w:pPr>
            <w:r>
              <w:rPr>
                <w:rFonts w:ascii="Calibri" w:hAnsi="Calibri"/>
                <w:b/>
                <w:color w:val="008069"/>
                <w:sz w:val="19"/>
              </w:rPr>
              <w:t xml:space="preserve">⚡ Winning 30-Second Pitch: </w:t>
            </w:r>
            <w:r>
              <w:rPr>
                <w:rFonts w:ascii="Calibri" w:hAnsi="Calibri"/>
                <w:color w:val="263230"/>
                <w:sz w:val="19"/>
              </w:rPr>
              <w:t>Under normal conditions, our end-to-end latency is 1.2 to 2.8 seconds. When immediate emergency triggers are activated, the fail-safe emergency advice renders in under 500 milliseconds.</w:t>
            </w:r>
          </w:p>
          <w:p>
            <w:pPr>
              <w:spacing w:before="60" w:after="80"/>
            </w:pPr>
            <w:r>
              <w:rPr>
                <w:rFonts w:ascii="Calibri" w:hAnsi="Calibri"/>
                <w:b/>
                <w:color w:val="1B365D"/>
                <w:sz w:val="19"/>
              </w:rPr>
              <w:t xml:space="preserve">🔍 In-Depth Technical Explanation: </w:t>
            </w:r>
            <w:r>
              <w:rPr>
                <w:rFonts w:ascii="Calibri" w:hAnsi="Calibri"/>
                <w:color w:val="263230"/>
                <w:sz w:val="19"/>
              </w:rPr>
              <w:t>By utilizing ChatGroq's LPUs (Language Processing Units) running `openai/gpt-oss-120b`, inference token generation exceeds 250 tokens/second. The Next.js API route proxy incurs less than 15ms overhead. For local MedGemma calls on Ollama, response streaming returns the initial empathy chunk within 1.5 seconds. If any step exceeds 5 seconds, our frontend displays active typing indicators with direct clickable 112/14566 emergency call pills.</w:t>
            </w:r>
          </w:p>
          <w:p>
            <w:pPr>
              <w:spacing w:before="60" w:after="20"/>
            </w:pPr>
            <w:r>
              <w:rPr>
                <w:rFonts w:ascii="Calibri" w:hAnsi="Calibri"/>
                <w:b/>
                <w:color w:val="263230"/>
                <w:sz w:val="18"/>
              </w:rPr>
              <w:t>💡 Key Proof Points / Terms to Mention:</w:t>
            </w:r>
          </w:p>
          <w:p>
            <w:pPr>
              <w:pStyle w:val="ListBullet"/>
              <w:spacing w:before="0" w:after="20"/>
              <w:ind w:left="288"/>
            </w:pPr>
            <w:r>
              <w:rPr>
                <w:rFonts w:ascii="Calibri" w:hAnsi="Calibri"/>
                <w:color w:val="263230"/>
                <w:sz w:val="17"/>
              </w:rPr>
              <w:t>Groq LPUs delivering 250+ tokens/second</w:t>
            </w:r>
          </w:p>
          <w:p>
            <w:pPr>
              <w:pStyle w:val="ListBullet"/>
              <w:spacing w:before="0" w:after="20"/>
              <w:ind w:left="288"/>
            </w:pPr>
            <w:r>
              <w:rPr>
                <w:rFonts w:ascii="Calibri" w:hAnsi="Calibri"/>
                <w:color w:val="263230"/>
                <w:sz w:val="17"/>
              </w:rPr>
              <w:t>Next.js server-side reverse proxy overhead &lt; 15ms</w:t>
            </w:r>
          </w:p>
          <w:p>
            <w:pPr>
              <w:pStyle w:val="ListBullet"/>
              <w:spacing w:before="0" w:after="20"/>
              <w:ind w:left="288"/>
            </w:pPr>
            <w:r>
              <w:rPr>
                <w:rFonts w:ascii="Calibri" w:hAnsi="Calibri"/>
                <w:color w:val="263230"/>
                <w:sz w:val="17"/>
              </w:rPr>
              <w:t>Stream updates parsed on the fly</w:t>
            </w:r>
          </w:p>
          <w:p>
            <w:pPr>
              <w:pStyle w:val="ListBullet"/>
              <w:spacing w:before="0" w:after="20"/>
              <w:ind w:left="288"/>
            </w:pPr>
            <w:r>
              <w:rPr>
                <w:rFonts w:ascii="Calibri" w:hAnsi="Calibri"/>
                <w:color w:val="263230"/>
                <w:sz w:val="17"/>
              </w:rPr>
              <w:t>Instantaneous emergency fallback rendering</w:t>
            </w:r>
          </w:p>
        </w:tc>
      </w:tr>
    </w:tbl>
    <w:p>
      <w:pPr>
        <w:spacing w:after="120"/>
      </w:pPr>
    </w:p>
    <w:p>
      <w:pPr>
        <w:keepNext/>
        <w:spacing w:before="360" w:after="120"/>
        <w:pBdr>
          <w:bottom w:val="single" w:sz="12" w:space="4" w:color="1B365D"/>
        </w:pBdr>
      </w:pPr>
      <w:r>
        <w:rPr>
          <w:rFonts w:ascii="Arial" w:hAnsi="Arial"/>
          <w:b/>
          <w:color w:val="1B365D"/>
          <w:sz w:val="27"/>
        </w:rPr>
        <w:t>Category 4: Safety, Hallucinations &amp; Human-in-the-Loop Governance</w:t>
      </w:r>
    </w:p>
    <w:tbl>
      <w:tblPr>
        <w:tblW w:type="auto" w:w="0"/>
        <w:jc w:val="center"/>
        <w:tblLook w:firstColumn="1" w:firstRow="1" w:lastColumn="0" w:lastRow="0" w:noHBand="0" w:noVBand="1" w:val="04A0"/>
      </w:tblPr>
      <w:tblGrid>
        <w:gridCol w:w="10080"/>
      </w:tblGrid>
      <w:tr>
        <w:tc>
          <w:tcPr>
            <w:tcW w:type="dxa" w:w="10080"/>
            <w:shd w:fill="FFFFFF"/>
            <w:tcMar>
              <w:top w:w="120" w:type="dxa"/>
              <w:bottom w:w="120" w:type="dxa"/>
              <w:left w:w="150" w:type="dxa"/>
              <w:right w:w="150" w:type="dxa"/>
            </w:tcMar>
            <w:tcBorders>
              <w:left w:val="single" w:sz="24" w:space="0" w:color="008069"/>
              <w:top w:val="single" w:sz="4" w:space="0" w:color="E2DFD3"/>
              <w:right w:val="single" w:sz="4" w:space="0" w:color="E2DFD3"/>
              <w:bottom w:val="single" w:sz="4" w:space="0" w:color="E2DFD3"/>
            </w:tcBorders>
          </w:tcPr>
          <w:p>
            <w:pPr>
              <w:spacing w:before="40" w:after="80"/>
            </w:pPr>
            <w:r>
              <w:rPr>
                <w:rFonts w:ascii="Arial" w:hAnsi="Arial"/>
                <w:b/>
                <w:color w:val="1B365D"/>
                <w:sz w:val="21"/>
              </w:rPr>
              <w:t xml:space="preserve">Q8: </w:t>
            </w:r>
            <w:r>
              <w:rPr>
                <w:rFonts w:ascii="Arial" w:hAnsi="Arial"/>
                <w:b/>
                <w:color w:val="263230"/>
                <w:sz w:val="21"/>
              </w:rPr>
              <w:t>What if the AI hallucinates, gives medical advice, or tells a distressed person something harmful?</w:t>
            </w:r>
          </w:p>
          <w:p>
            <w:pPr>
              <w:spacing w:before="20" w:after="80"/>
            </w:pPr>
            <w:r>
              <w:rPr>
                <w:rFonts w:ascii="Calibri" w:hAnsi="Calibri"/>
                <w:b/>
                <w:color w:val="B45309"/>
                <w:sz w:val="18"/>
              </w:rPr>
              <w:t xml:space="preserve">🎯 What the Judge is Testing: </w:t>
            </w:r>
            <w:r>
              <w:rPr>
                <w:rFonts w:ascii="Calibri" w:hAnsi="Calibri"/>
                <w:i/>
                <w:color w:val="64716C"/>
                <w:sz w:val="18"/>
              </w:rPr>
              <w:t>HIGH PRIORITY: Every AI healthcare/crisis project must pass safety and ethical scrutiny.</w:t>
            </w:r>
          </w:p>
          <w:p>
            <w:pPr>
              <w:spacing w:before="60" w:after="80"/>
            </w:pPr>
            <w:r>
              <w:rPr>
                <w:rFonts w:ascii="Calibri" w:hAnsi="Calibri"/>
                <w:b/>
                <w:color w:val="008069"/>
                <w:sz w:val="19"/>
              </w:rPr>
              <w:t xml:space="preserve">⚡ Winning 30-Second Pitch: </w:t>
            </w:r>
            <w:r>
              <w:rPr>
                <w:rFonts w:ascii="Calibri" w:hAnsi="Calibri"/>
                <w:color w:val="263230"/>
                <w:sz w:val="19"/>
              </w:rPr>
              <w:t>SVI strictly adheres to 4 safety guardrails: (1) Rigid India-specific system prompt boundaries, (2) Absolute prohibition against prescribing medication or diagnosing, (3) Autonomous fail-safe telephony dispatch for self-harm keywords, and (4) Mandatory Human-in-the-Loop oversight for all legal actions.</w:t>
            </w:r>
          </w:p>
          <w:p>
            <w:pPr>
              <w:spacing w:before="60" w:after="80"/>
            </w:pPr>
            <w:r>
              <w:rPr>
                <w:rFonts w:ascii="Calibri" w:hAnsi="Calibri"/>
                <w:b/>
                <w:color w:val="1B365D"/>
                <w:sz w:val="19"/>
              </w:rPr>
              <w:t xml:space="preserve">🔍 In-Depth Technical Explanation: </w:t>
            </w:r>
            <w:r>
              <w:rPr>
                <w:rFonts w:ascii="Calibri" w:hAnsi="Calibri"/>
                <w:color w:val="263230"/>
                <w:sz w:val="19"/>
              </w:rPr>
              <w:t>In our system prompt, the AI is explicitly instructed that it is NOT a doctor and cannot dispense pharmacological advice. If suicidal ideation or self-harm is detected, the LangGraph agent intercepts the prompt, executes `emergency_call_tool`, and responds with mandatory crisis instructions (Call 112, Call 14416, stay with a trusted person). Most importantly, NO legal FIR, police dispatch, or case closure is decided by AI alone; every case is reviewed in `/counsellor/[caseId]` where a human officer must approve or override the assessment.</w:t>
            </w:r>
          </w:p>
          <w:p>
            <w:pPr>
              <w:spacing w:before="60" w:after="20"/>
            </w:pPr>
            <w:r>
              <w:rPr>
                <w:rFonts w:ascii="Calibri" w:hAnsi="Calibri"/>
                <w:b/>
                <w:color w:val="263230"/>
                <w:sz w:val="18"/>
              </w:rPr>
              <w:t>💡 Key Proof Points / Terms to Mention:</w:t>
            </w:r>
          </w:p>
          <w:p>
            <w:pPr>
              <w:pStyle w:val="ListBullet"/>
              <w:spacing w:before="0" w:after="20"/>
              <w:ind w:left="288"/>
            </w:pPr>
            <w:r>
              <w:rPr>
                <w:rFonts w:ascii="Calibri" w:hAnsi="Calibri"/>
                <w:color w:val="263230"/>
                <w:sz w:val="17"/>
              </w:rPr>
              <w:t>Deterministic keyword &amp; intent interceptors for self-harm</w:t>
            </w:r>
          </w:p>
          <w:p>
            <w:pPr>
              <w:pStyle w:val="ListBullet"/>
              <w:spacing w:before="0" w:after="20"/>
              <w:ind w:left="288"/>
            </w:pPr>
            <w:r>
              <w:rPr>
                <w:rFonts w:ascii="Calibri" w:hAnsi="Calibri"/>
                <w:color w:val="263230"/>
                <w:sz w:val="17"/>
              </w:rPr>
              <w:t>Strict system prompt boundaries forbidding medical prescription</w:t>
            </w:r>
          </w:p>
          <w:p>
            <w:pPr>
              <w:pStyle w:val="ListBullet"/>
              <w:spacing w:before="0" w:after="20"/>
              <w:ind w:left="288"/>
            </w:pPr>
            <w:r>
              <w:rPr>
                <w:rFonts w:ascii="Calibri" w:hAnsi="Calibri"/>
                <w:color w:val="263230"/>
                <w:sz w:val="17"/>
              </w:rPr>
              <w:t>Automated Twilio emergency voice dispatch to safety officers</w:t>
            </w:r>
          </w:p>
          <w:p>
            <w:pPr>
              <w:pStyle w:val="ListBullet"/>
              <w:spacing w:before="0" w:after="20"/>
              <w:ind w:left="288"/>
            </w:pPr>
            <w:r>
              <w:rPr>
                <w:rFonts w:ascii="Calibri" w:hAnsi="Calibri"/>
                <w:color w:val="263230"/>
                <w:sz w:val="17"/>
              </w:rPr>
              <w:t>Statutory Human-in-the-Loop requirement: AI recommends, humans decide</w:t>
            </w:r>
          </w:p>
        </w:tc>
      </w:tr>
    </w:tbl>
    <w:p>
      <w:pPr>
        <w:spacing w:after="120"/>
      </w:pPr>
    </w:p>
    <w:tbl>
      <w:tblPr>
        <w:tblW w:type="auto" w:w="0"/>
        <w:jc w:val="center"/>
        <w:tblLook w:firstColumn="1" w:firstRow="1" w:lastColumn="0" w:lastRow="0" w:noHBand="0" w:noVBand="1" w:val="04A0"/>
      </w:tblPr>
      <w:tblGrid>
        <w:gridCol w:w="10080"/>
      </w:tblGrid>
      <w:tr>
        <w:tc>
          <w:tcPr>
            <w:tcW w:type="dxa" w:w="10080"/>
            <w:shd w:fill="FFFFFF"/>
            <w:tcMar>
              <w:top w:w="120" w:type="dxa"/>
              <w:bottom w:w="120" w:type="dxa"/>
              <w:left w:w="150" w:type="dxa"/>
              <w:right w:w="150" w:type="dxa"/>
            </w:tcMar>
            <w:tcBorders>
              <w:left w:val="single" w:sz="24" w:space="0" w:color="008069"/>
              <w:top w:val="single" w:sz="4" w:space="0" w:color="E2DFD3"/>
              <w:right w:val="single" w:sz="4" w:space="0" w:color="E2DFD3"/>
              <w:bottom w:val="single" w:sz="4" w:space="0" w:color="E2DFD3"/>
            </w:tcBorders>
          </w:tcPr>
          <w:p>
            <w:pPr>
              <w:spacing w:before="40" w:after="80"/>
            </w:pPr>
            <w:r>
              <w:rPr>
                <w:rFonts w:ascii="Arial" w:hAnsi="Arial"/>
                <w:b/>
                <w:color w:val="1B365D"/>
                <w:sz w:val="21"/>
              </w:rPr>
              <w:t xml:space="preserve">Q9: </w:t>
            </w:r>
            <w:r>
              <w:rPr>
                <w:rFonts w:ascii="Arial" w:hAnsi="Arial"/>
                <w:b/>
                <w:color w:val="263230"/>
                <w:sz w:val="21"/>
              </w:rPr>
              <w:t>Explain your Human-in-the-Loop (HITL) and Audit Trail implementation.</w:t>
            </w:r>
          </w:p>
          <w:p>
            <w:pPr>
              <w:spacing w:before="20" w:after="80"/>
            </w:pPr>
            <w:r>
              <w:rPr>
                <w:rFonts w:ascii="Calibri" w:hAnsi="Calibri"/>
                <w:b/>
                <w:color w:val="B45309"/>
                <w:sz w:val="18"/>
              </w:rPr>
              <w:t xml:space="preserve">🎯 What the Judge is Testing: </w:t>
            </w:r>
            <w:r>
              <w:rPr>
                <w:rFonts w:ascii="Calibri" w:hAnsi="Calibri"/>
                <w:i/>
                <w:color w:val="64716C"/>
                <w:sz w:val="18"/>
              </w:rPr>
              <w:t>Demonstrating compliance with administrative law and evidentiary standards.</w:t>
            </w:r>
          </w:p>
          <w:p>
            <w:pPr>
              <w:spacing w:before="60" w:after="80"/>
            </w:pPr>
            <w:r>
              <w:rPr>
                <w:rFonts w:ascii="Calibri" w:hAnsi="Calibri"/>
                <w:b/>
                <w:color w:val="008069"/>
                <w:sz w:val="19"/>
              </w:rPr>
              <w:t xml:space="preserve">⚡ Winning 30-Second Pitch: </w:t>
            </w:r>
            <w:r>
              <w:rPr>
                <w:rFonts w:ascii="Calibri" w:hAnsi="Calibri"/>
                <w:color w:val="263230"/>
                <w:sz w:val="19"/>
              </w:rPr>
              <w:t>In SVI, the AI acts solely as a triage recommendation copilot. The HumanActionForm component allows trained officers to Approve, Override Risk, Escalate to 112, or Resolve cases, requiring written justification that is permanently stamped into an immutable audit trail.</w:t>
            </w:r>
          </w:p>
          <w:p>
            <w:pPr>
              <w:spacing w:before="60" w:after="80"/>
            </w:pPr>
            <w:r>
              <w:rPr>
                <w:rFonts w:ascii="Calibri" w:hAnsi="Calibri"/>
                <w:b/>
                <w:color w:val="1B365D"/>
                <w:sz w:val="19"/>
              </w:rPr>
              <w:t xml:space="preserve">🔍 In-Depth Technical Explanation: </w:t>
            </w:r>
            <w:r>
              <w:rPr>
                <w:rFonts w:ascii="Calibri" w:hAnsi="Calibri"/>
                <w:color w:val="263230"/>
                <w:sz w:val="19"/>
              </w:rPr>
              <w:t>When a counsellor reviews a case at `/counsellor/[caseId]`: (1) They view the AI's risk score, legal violation tags, and vocal tremor data; (2) If the officer discovers the victim was merely reporting past procedural delay rather than an active attack, they select 'Override Risk Level' and downgrade from Critical to Moderate; (3) The officer must enter an official reason and notes; (4) The system appends an audit object: `{ action: 'Risk Overridden to Moderate', actor: 'Officer Sharma', timestamp: '2026-09-15 01:20:00', details: 'Reason: ...' }`. This creates an evidentiary chain of custody.</w:t>
            </w:r>
          </w:p>
          <w:p>
            <w:pPr>
              <w:spacing w:before="60" w:after="20"/>
            </w:pPr>
            <w:r>
              <w:rPr>
                <w:rFonts w:ascii="Calibri" w:hAnsi="Calibri"/>
                <w:b/>
                <w:color w:val="263230"/>
                <w:sz w:val="18"/>
              </w:rPr>
              <w:t>💡 Key Proof Points / Terms to Mention:</w:t>
            </w:r>
          </w:p>
          <w:p>
            <w:pPr>
              <w:pStyle w:val="ListBullet"/>
              <w:spacing w:before="0" w:after="20"/>
              <w:ind w:left="288"/>
            </w:pPr>
            <w:r>
              <w:rPr>
                <w:rFonts w:ascii="Calibri" w:hAnsi="Calibri"/>
                <w:color w:val="263230"/>
                <w:sz w:val="17"/>
              </w:rPr>
              <w:t>Component: HumanActionForm.js on route /counsellor/[caseId]</w:t>
            </w:r>
          </w:p>
          <w:p>
            <w:pPr>
              <w:pStyle w:val="ListBullet"/>
              <w:spacing w:before="0" w:after="20"/>
              <w:ind w:left="288"/>
            </w:pPr>
            <w:r>
              <w:rPr>
                <w:rFonts w:ascii="Calibri" w:hAnsi="Calibri"/>
                <w:color w:val="263230"/>
                <w:sz w:val="17"/>
              </w:rPr>
              <w:t>4 explicit actions: Approve, Override Risk, Escalate 112, Resolve</w:t>
            </w:r>
          </w:p>
          <w:p>
            <w:pPr>
              <w:pStyle w:val="ListBullet"/>
              <w:spacing w:before="0" w:after="20"/>
              <w:ind w:left="288"/>
            </w:pPr>
            <w:r>
              <w:rPr>
                <w:rFonts w:ascii="Calibri" w:hAnsi="Calibri"/>
                <w:color w:val="263230"/>
                <w:sz w:val="17"/>
              </w:rPr>
              <w:t>Mandatory rationale field preventing arbitrary changes</w:t>
            </w:r>
          </w:p>
          <w:p>
            <w:pPr>
              <w:pStyle w:val="ListBullet"/>
              <w:spacing w:before="0" w:after="20"/>
              <w:ind w:left="288"/>
            </w:pPr>
            <w:r>
              <w:rPr>
                <w:rFonts w:ascii="Calibri" w:hAnsi="Calibri"/>
                <w:color w:val="263230"/>
                <w:sz w:val="17"/>
              </w:rPr>
              <w:t>Immutable chronological audit trail with officer ID and timestamps</w:t>
            </w:r>
          </w:p>
        </w:tc>
      </w:tr>
    </w:tbl>
    <w:p>
      <w:pPr>
        <w:spacing w:after="120"/>
      </w:pPr>
    </w:p>
    <w:p>
      <w:pPr>
        <w:keepNext/>
        <w:spacing w:before="360" w:after="120"/>
        <w:pBdr>
          <w:bottom w:val="single" w:sz="12" w:space="4" w:color="1B365D"/>
        </w:pBdr>
      </w:pPr>
      <w:r>
        <w:rPr>
          <w:rFonts w:ascii="Arial" w:hAnsi="Arial"/>
          <w:b/>
          <w:color w:val="1B365D"/>
          <w:sz w:val="27"/>
        </w:rPr>
        <w:t>Category 5: Privacy, Security &amp; DPDP Act 2023 Compliance</w:t>
      </w:r>
    </w:p>
    <w:tbl>
      <w:tblPr>
        <w:tblW w:type="auto" w:w="0"/>
        <w:jc w:val="center"/>
        <w:tblLook w:firstColumn="1" w:firstRow="1" w:lastColumn="0" w:lastRow="0" w:noHBand="0" w:noVBand="1" w:val="04A0"/>
      </w:tblPr>
      <w:tblGrid>
        <w:gridCol w:w="10080"/>
      </w:tblGrid>
      <w:tr>
        <w:tc>
          <w:tcPr>
            <w:tcW w:type="dxa" w:w="10080"/>
            <w:shd w:fill="FFFFFF"/>
            <w:tcMar>
              <w:top w:w="120" w:type="dxa"/>
              <w:bottom w:w="120" w:type="dxa"/>
              <w:left w:w="150" w:type="dxa"/>
              <w:right w:w="150" w:type="dxa"/>
            </w:tcMar>
            <w:tcBorders>
              <w:left w:val="single" w:sz="24" w:space="0" w:color="008069"/>
              <w:top w:val="single" w:sz="4" w:space="0" w:color="E2DFD3"/>
              <w:right w:val="single" w:sz="4" w:space="0" w:color="E2DFD3"/>
              <w:bottom w:val="single" w:sz="4" w:space="0" w:color="E2DFD3"/>
            </w:tcBorders>
          </w:tcPr>
          <w:p>
            <w:pPr>
              <w:spacing w:before="40" w:after="80"/>
            </w:pPr>
            <w:r>
              <w:rPr>
                <w:rFonts w:ascii="Arial" w:hAnsi="Arial"/>
                <w:b/>
                <w:color w:val="1B365D"/>
                <w:sz w:val="21"/>
              </w:rPr>
              <w:t xml:space="preserve">Q10: </w:t>
            </w:r>
            <w:r>
              <w:rPr>
                <w:rFonts w:ascii="Arial" w:hAnsi="Arial"/>
                <w:b/>
                <w:color w:val="263230"/>
                <w:sz w:val="21"/>
              </w:rPr>
              <w:t>How is SVI compliant with India's Digital Personal Data Protection (DPDP) Act 2023?</w:t>
            </w:r>
          </w:p>
          <w:p>
            <w:pPr>
              <w:spacing w:before="20" w:after="80"/>
            </w:pPr>
            <w:r>
              <w:rPr>
                <w:rFonts w:ascii="Calibri" w:hAnsi="Calibri"/>
                <w:b/>
                <w:color w:val="B45309"/>
                <w:sz w:val="18"/>
              </w:rPr>
              <w:t xml:space="preserve">🎯 What the Judge is Testing: </w:t>
            </w:r>
            <w:r>
              <w:rPr>
                <w:rFonts w:ascii="Calibri" w:hAnsi="Calibri"/>
                <w:i/>
                <w:color w:val="64716C"/>
                <w:sz w:val="18"/>
              </w:rPr>
              <w:t>A massive differentiator for government hackathons; shows legal compliance maturity.</w:t>
            </w:r>
          </w:p>
          <w:p>
            <w:pPr>
              <w:spacing w:before="60" w:after="80"/>
            </w:pPr>
            <w:r>
              <w:rPr>
                <w:rFonts w:ascii="Calibri" w:hAnsi="Calibri"/>
                <w:b/>
                <w:color w:val="008069"/>
                <w:sz w:val="19"/>
              </w:rPr>
              <w:t xml:space="preserve">⚡ Winning 30-Second Pitch: </w:t>
            </w:r>
            <w:r>
              <w:rPr>
                <w:rFonts w:ascii="Calibri" w:hAnsi="Calibri"/>
                <w:color w:val="263230"/>
                <w:sz w:val="19"/>
              </w:rPr>
              <w:t>SVI enforces 5 DPDP pillars: (1) Explicit opt-in consent before intake, (2) Granular consent controls (text vs voice analysis), (3) Complete citizen anonymity (no Aadhaar/phone required), (4) Right to revoke consent, and (5) Strict PII exclusion from macro analytics.</w:t>
            </w:r>
          </w:p>
          <w:p>
            <w:pPr>
              <w:spacing w:before="60" w:after="80"/>
            </w:pPr>
            <w:r>
              <w:rPr>
                <w:rFonts w:ascii="Calibri" w:hAnsi="Calibri"/>
                <w:b/>
                <w:color w:val="1B365D"/>
                <w:sz w:val="19"/>
              </w:rPr>
              <w:t xml:space="preserve">🔍 In-Depth Technical Explanation: </w:t>
            </w:r>
            <w:r>
              <w:rPr>
                <w:rFonts w:ascii="Calibri" w:hAnsi="Calibri"/>
                <w:color w:val="263230"/>
                <w:sz w:val="19"/>
              </w:rPr>
              <w:t>Under DPDP Act 2023, personal data cannot be processed without lawful, unambiguous notice. Our `ConsentModal.js` informs citizens exactly what is processed. Citizens can revoke permissions anytime at `/consent`. For identity, we generate synthetic ticket tokens (`SVI-2026-XXXX`). In the counsellor dashboard, sensitive transcripts are masked behind an `Eye`/`EyeOff` redaction toggle to prevent shoulder-surfing. In the Admin dashboard, all data is aggregated into statistical distributions where PII is mathematically stripped.</w:t>
            </w:r>
          </w:p>
          <w:p>
            <w:pPr>
              <w:spacing w:before="60" w:after="20"/>
            </w:pPr>
            <w:r>
              <w:rPr>
                <w:rFonts w:ascii="Calibri" w:hAnsi="Calibri"/>
                <w:b/>
                <w:color w:val="263230"/>
                <w:sz w:val="18"/>
              </w:rPr>
              <w:t>💡 Key Proof Points / Terms to Mention:</w:t>
            </w:r>
          </w:p>
          <w:p>
            <w:pPr>
              <w:pStyle w:val="ListBullet"/>
              <w:spacing w:before="0" w:after="20"/>
              <w:ind w:left="288"/>
            </w:pPr>
            <w:r>
              <w:rPr>
                <w:rFonts w:ascii="Calibri" w:hAnsi="Calibri"/>
                <w:color w:val="263230"/>
                <w:sz w:val="17"/>
              </w:rPr>
              <w:t>Granular opt-in modal (ConsentModal.js)</w:t>
            </w:r>
          </w:p>
          <w:p>
            <w:pPr>
              <w:pStyle w:val="ListBullet"/>
              <w:spacing w:before="0" w:after="20"/>
              <w:ind w:left="288"/>
            </w:pPr>
            <w:r>
              <w:rPr>
                <w:rFonts w:ascii="Calibri" w:hAnsi="Calibri"/>
                <w:color w:val="263230"/>
                <w:sz w:val="17"/>
              </w:rPr>
              <w:t>Revocable consent center (/consent)</w:t>
            </w:r>
          </w:p>
          <w:p>
            <w:pPr>
              <w:pStyle w:val="ListBullet"/>
              <w:spacing w:before="0" w:after="20"/>
              <w:ind w:left="288"/>
            </w:pPr>
            <w:r>
              <w:rPr>
                <w:rFonts w:ascii="Calibri" w:hAnsi="Calibri"/>
                <w:color w:val="263230"/>
                <w:sz w:val="17"/>
              </w:rPr>
              <w:t>Anonymous ticket generation without Aadhaar/OTP</w:t>
            </w:r>
          </w:p>
          <w:p>
            <w:pPr>
              <w:pStyle w:val="ListBullet"/>
              <w:spacing w:before="0" w:after="20"/>
              <w:ind w:left="288"/>
            </w:pPr>
            <w:r>
              <w:rPr>
                <w:rFonts w:ascii="Calibri" w:hAnsi="Calibri"/>
                <w:color w:val="263230"/>
                <w:sz w:val="17"/>
              </w:rPr>
              <w:t>Transcript redaction toggle (Eye/EyeOff)</w:t>
            </w:r>
          </w:p>
          <w:p>
            <w:pPr>
              <w:pStyle w:val="ListBullet"/>
              <w:spacing w:before="0" w:after="20"/>
              <w:ind w:left="288"/>
            </w:pPr>
            <w:r>
              <w:rPr>
                <w:rFonts w:ascii="Calibri" w:hAnsi="Calibri"/>
                <w:color w:val="263230"/>
                <w:sz w:val="17"/>
              </w:rPr>
              <w:t>PII-free macro analytics (/admin)</w:t>
            </w:r>
          </w:p>
        </w:tc>
      </w:tr>
    </w:tbl>
    <w:p>
      <w:pPr>
        <w:spacing w:after="120"/>
      </w:pPr>
    </w:p>
    <w:tbl>
      <w:tblPr>
        <w:tblW w:type="auto" w:w="0"/>
        <w:jc w:val="center"/>
        <w:tblLook w:firstColumn="1" w:firstRow="1" w:lastColumn="0" w:lastRow="0" w:noHBand="0" w:noVBand="1" w:val="04A0"/>
      </w:tblPr>
      <w:tblGrid>
        <w:gridCol w:w="10080"/>
      </w:tblGrid>
      <w:tr>
        <w:tc>
          <w:tcPr>
            <w:tcW w:type="dxa" w:w="10080"/>
            <w:shd w:fill="FFFFFF"/>
            <w:tcMar>
              <w:top w:w="120" w:type="dxa"/>
              <w:bottom w:w="120" w:type="dxa"/>
              <w:left w:w="150" w:type="dxa"/>
              <w:right w:w="150" w:type="dxa"/>
            </w:tcMar>
            <w:tcBorders>
              <w:left w:val="single" w:sz="24" w:space="0" w:color="008069"/>
              <w:top w:val="single" w:sz="4" w:space="0" w:color="E2DFD3"/>
              <w:right w:val="single" w:sz="4" w:space="0" w:color="E2DFD3"/>
              <w:bottom w:val="single" w:sz="4" w:space="0" w:color="E2DFD3"/>
            </w:tcBorders>
          </w:tcPr>
          <w:p>
            <w:pPr>
              <w:spacing w:before="40" w:after="80"/>
            </w:pPr>
            <w:r>
              <w:rPr>
                <w:rFonts w:ascii="Arial" w:hAnsi="Arial"/>
                <w:b/>
                <w:color w:val="1B365D"/>
                <w:sz w:val="21"/>
              </w:rPr>
              <w:t xml:space="preserve">Q11: </w:t>
            </w:r>
            <w:r>
              <w:rPr>
                <w:rFonts w:ascii="Arial" w:hAnsi="Arial"/>
                <w:b/>
                <w:color w:val="263230"/>
                <w:sz w:val="21"/>
              </w:rPr>
              <w:t>Where is the victim's data stored? Can police or courts subpoena this data?</w:t>
            </w:r>
          </w:p>
          <w:p>
            <w:pPr>
              <w:spacing w:before="20" w:after="80"/>
            </w:pPr>
            <w:r>
              <w:rPr>
                <w:rFonts w:ascii="Calibri" w:hAnsi="Calibri"/>
                <w:b/>
                <w:color w:val="B45309"/>
                <w:sz w:val="18"/>
              </w:rPr>
              <w:t xml:space="preserve">🎯 What the Judge is Testing: </w:t>
            </w:r>
            <w:r>
              <w:rPr>
                <w:rFonts w:ascii="Calibri" w:hAnsi="Calibri"/>
                <w:i/>
                <w:color w:val="64716C"/>
                <w:sz w:val="18"/>
              </w:rPr>
              <w:t>Shows understanding of government cloud infrastructure and evidence law.</w:t>
            </w:r>
          </w:p>
          <w:p>
            <w:pPr>
              <w:spacing w:before="60" w:after="80"/>
            </w:pPr>
            <w:r>
              <w:rPr>
                <w:rFonts w:ascii="Calibri" w:hAnsi="Calibri"/>
                <w:b/>
                <w:color w:val="008069"/>
                <w:sz w:val="19"/>
              </w:rPr>
              <w:t xml:space="preserve">⚡ Winning 30-Second Pitch: </w:t>
            </w:r>
            <w:r>
              <w:rPr>
                <w:rFonts w:ascii="Calibri" w:hAnsi="Calibri"/>
                <w:color w:val="263230"/>
                <w:sz w:val="19"/>
              </w:rPr>
              <w:t>In our prototype, active session state is client-contained in encrypted LocalStorage. In our production architecture, data is encrypted at rest (AES-256) and in transit (TLS 1.3) within a state-approved sovereign cloud (NIC / MeghRaj) with legal compliance mechanisms for Section 91 CrPC judicial subpoenas.</w:t>
            </w:r>
          </w:p>
          <w:p>
            <w:pPr>
              <w:spacing w:before="60" w:after="80"/>
            </w:pPr>
            <w:r>
              <w:rPr>
                <w:rFonts w:ascii="Calibri" w:hAnsi="Calibri"/>
                <w:b/>
                <w:color w:val="1B365D"/>
                <w:sz w:val="19"/>
              </w:rPr>
              <w:t xml:space="preserve">🔍 In-Depth Technical Explanation: </w:t>
            </w:r>
            <w:r>
              <w:rPr>
                <w:rFonts w:ascii="Calibri" w:hAnsi="Calibri"/>
                <w:color w:val="263230"/>
                <w:sz w:val="19"/>
              </w:rPr>
              <w:t>Citizen anonymity is preserved at intake. If a citizen chooses to escalate to a formal FIR under the PoA Act, their informed consent authorizes the release of the cryptographic Case Reference and associated audit trail to the District Legal Services Authority (DLSA) or Superintendent of Police. Audit logs are cryptographically hashed (SHA-256) to ensure tamper-evident evidence admissible under Section 65B of the Indian Evidence Act.</w:t>
            </w:r>
          </w:p>
          <w:p>
            <w:pPr>
              <w:spacing w:before="60" w:after="20"/>
            </w:pPr>
            <w:r>
              <w:rPr>
                <w:rFonts w:ascii="Calibri" w:hAnsi="Calibri"/>
                <w:b/>
                <w:color w:val="263230"/>
                <w:sz w:val="18"/>
              </w:rPr>
              <w:t>💡 Key Proof Points / Terms to Mention:</w:t>
            </w:r>
          </w:p>
          <w:p>
            <w:pPr>
              <w:pStyle w:val="ListBullet"/>
              <w:spacing w:before="0" w:after="20"/>
              <w:ind w:left="288"/>
            </w:pPr>
            <w:r>
              <w:rPr>
                <w:rFonts w:ascii="Calibri" w:hAnsi="Calibri"/>
                <w:color w:val="263230"/>
                <w:sz w:val="17"/>
              </w:rPr>
              <w:t>AES-256 encryption at rest; TLS 1.3 in transit</w:t>
            </w:r>
          </w:p>
          <w:p>
            <w:pPr>
              <w:pStyle w:val="ListBullet"/>
              <w:spacing w:before="0" w:after="20"/>
              <w:ind w:left="288"/>
            </w:pPr>
            <w:r>
              <w:rPr>
                <w:rFonts w:ascii="Calibri" w:hAnsi="Calibri"/>
                <w:color w:val="263230"/>
                <w:sz w:val="17"/>
              </w:rPr>
              <w:t>National Informatics Centre (NIC) / MeghRaj sovereign hosting roadmap</w:t>
            </w:r>
          </w:p>
          <w:p>
            <w:pPr>
              <w:pStyle w:val="ListBullet"/>
              <w:spacing w:before="0" w:after="20"/>
              <w:ind w:left="288"/>
            </w:pPr>
            <w:r>
              <w:rPr>
                <w:rFonts w:ascii="Calibri" w:hAnsi="Calibri"/>
                <w:color w:val="263230"/>
                <w:sz w:val="17"/>
              </w:rPr>
              <w:t>Section 65B Evidence Act tamper-proof audit trails</w:t>
            </w:r>
          </w:p>
          <w:p>
            <w:pPr>
              <w:pStyle w:val="ListBullet"/>
              <w:spacing w:before="0" w:after="20"/>
              <w:ind w:left="288"/>
            </w:pPr>
            <w:r>
              <w:rPr>
                <w:rFonts w:ascii="Calibri" w:hAnsi="Calibri"/>
                <w:color w:val="263230"/>
                <w:sz w:val="17"/>
              </w:rPr>
              <w:t>Selective, consented disclosure to DLSA legal aid cells</w:t>
            </w:r>
          </w:p>
        </w:tc>
      </w:tr>
    </w:tbl>
    <w:p>
      <w:pPr>
        <w:spacing w:after="120"/>
      </w:pPr>
    </w:p>
    <w:p>
      <w:pPr>
        <w:keepNext/>
        <w:spacing w:before="360" w:after="120"/>
        <w:pBdr>
          <w:bottom w:val="single" w:sz="12" w:space="4" w:color="1B365D"/>
        </w:pBdr>
      </w:pPr>
      <w:r>
        <w:rPr>
          <w:rFonts w:ascii="Arial" w:hAnsi="Arial"/>
          <w:b/>
          <w:color w:val="1B365D"/>
          <w:sz w:val="27"/>
        </w:rPr>
        <w:t>Category 6: Ministry Integration, Cost &amp; Deployment Viability</w:t>
      </w:r>
    </w:p>
    <w:tbl>
      <w:tblPr>
        <w:tblW w:type="auto" w:w="0"/>
        <w:jc w:val="center"/>
        <w:tblLook w:firstColumn="1" w:firstRow="1" w:lastColumn="0" w:lastRow="0" w:noHBand="0" w:noVBand="1" w:val="04A0"/>
      </w:tblPr>
      <w:tblGrid>
        <w:gridCol w:w="10080"/>
      </w:tblGrid>
      <w:tr>
        <w:tc>
          <w:tcPr>
            <w:tcW w:type="dxa" w:w="10080"/>
            <w:shd w:fill="FFFFFF"/>
            <w:tcMar>
              <w:top w:w="120" w:type="dxa"/>
              <w:bottom w:w="120" w:type="dxa"/>
              <w:left w:w="150" w:type="dxa"/>
              <w:right w:w="150" w:type="dxa"/>
            </w:tcMar>
            <w:tcBorders>
              <w:left w:val="single" w:sz="24" w:space="0" w:color="008069"/>
              <w:top w:val="single" w:sz="4" w:space="0" w:color="E2DFD3"/>
              <w:right w:val="single" w:sz="4" w:space="0" w:color="E2DFD3"/>
              <w:bottom w:val="single" w:sz="4" w:space="0" w:color="E2DFD3"/>
            </w:tcBorders>
          </w:tcPr>
          <w:p>
            <w:pPr>
              <w:spacing w:before="40" w:after="80"/>
            </w:pPr>
            <w:r>
              <w:rPr>
                <w:rFonts w:ascii="Arial" w:hAnsi="Arial"/>
                <w:b/>
                <w:color w:val="1B365D"/>
                <w:sz w:val="21"/>
              </w:rPr>
              <w:t xml:space="preserve">Q12: </w:t>
            </w:r>
            <w:r>
              <w:rPr>
                <w:rFonts w:ascii="Arial" w:hAnsi="Arial"/>
                <w:b/>
                <w:color w:val="263230"/>
                <w:sz w:val="21"/>
              </w:rPr>
              <w:t>How does SVI integrate with existing Government systems like CCTNS, ERSS 112, or NHAA 14566 call centers?</w:t>
            </w:r>
          </w:p>
          <w:p>
            <w:pPr>
              <w:spacing w:before="20" w:after="80"/>
            </w:pPr>
            <w:r>
              <w:rPr>
                <w:rFonts w:ascii="Calibri" w:hAnsi="Calibri"/>
                <w:b/>
                <w:color w:val="B45309"/>
                <w:sz w:val="18"/>
              </w:rPr>
              <w:t xml:space="preserve">🎯 What the Judge is Testing: </w:t>
            </w:r>
            <w:r>
              <w:rPr>
                <w:rFonts w:ascii="Calibri" w:hAnsi="Calibri"/>
                <w:i/>
                <w:color w:val="64716C"/>
                <w:sz w:val="18"/>
              </w:rPr>
              <w:t>Proving that your solution is practical and deployable by the Ministry.</w:t>
            </w:r>
          </w:p>
          <w:p>
            <w:pPr>
              <w:spacing w:before="60" w:after="80"/>
            </w:pPr>
            <w:r>
              <w:rPr>
                <w:rFonts w:ascii="Calibri" w:hAnsi="Calibri"/>
                <w:b/>
                <w:color w:val="008069"/>
                <w:sz w:val="19"/>
              </w:rPr>
              <w:t xml:space="preserve">⚡ Winning 30-Second Pitch: </w:t>
            </w:r>
            <w:r>
              <w:rPr>
                <w:rFonts w:ascii="Calibri" w:hAnsi="Calibri"/>
                <w:color w:val="263230"/>
                <w:sz w:val="19"/>
              </w:rPr>
              <w:t>SVI is built as an API-first middleware. It does not replace existing call centers; it acts as their intelligent digital front-door and counsellor copilot, connecting via standardized REST webhooks to CCTNS and ERSS 112.</w:t>
            </w:r>
          </w:p>
          <w:p>
            <w:pPr>
              <w:spacing w:before="60" w:after="80"/>
            </w:pPr>
            <w:r>
              <w:rPr>
                <w:rFonts w:ascii="Calibri" w:hAnsi="Calibri"/>
                <w:b/>
                <w:color w:val="1B365D"/>
                <w:sz w:val="19"/>
              </w:rPr>
              <w:t xml:space="preserve">🔍 In-Depth Technical Explanation: </w:t>
            </w:r>
            <w:r>
              <w:rPr>
                <w:rFonts w:ascii="Calibri" w:hAnsi="Calibri"/>
                <w:color w:val="263230"/>
                <w:sz w:val="19"/>
              </w:rPr>
              <w:t>For NHAA 14566: SVI integrates into their existing web portal as an embedded intake widget, screening non-urgent queries and routing high-risk atrocity cases directly to duty officers. For ERSS 112: When a case is escalated via `HumanActionForm` or `emergency_call_tool`, SVI triggers a standardized webhook payload to the state ERSS CAD (Computer Aided Dispatch) system with incident GPS coordinates, victim contact, and PoA Act violation tags.</w:t>
            </w:r>
          </w:p>
          <w:p>
            <w:pPr>
              <w:spacing w:before="60" w:after="20"/>
            </w:pPr>
            <w:r>
              <w:rPr>
                <w:rFonts w:ascii="Calibri" w:hAnsi="Calibri"/>
                <w:b/>
                <w:color w:val="263230"/>
                <w:sz w:val="18"/>
              </w:rPr>
              <w:t>💡 Key Proof Points / Terms to Mention:</w:t>
            </w:r>
          </w:p>
          <w:p>
            <w:pPr>
              <w:pStyle w:val="ListBullet"/>
              <w:spacing w:before="0" w:after="20"/>
              <w:ind w:left="288"/>
            </w:pPr>
            <w:r>
              <w:rPr>
                <w:rFonts w:ascii="Calibri" w:hAnsi="Calibri"/>
                <w:color w:val="263230"/>
                <w:sz w:val="17"/>
              </w:rPr>
              <w:t>Embedded widget on socialjustice.gov.in and helpline portals</w:t>
            </w:r>
          </w:p>
          <w:p>
            <w:pPr>
              <w:pStyle w:val="ListBullet"/>
              <w:spacing w:before="0" w:after="20"/>
              <w:ind w:left="288"/>
            </w:pPr>
            <w:r>
              <w:rPr>
                <w:rFonts w:ascii="Calibri" w:hAnsi="Calibri"/>
                <w:color w:val="263230"/>
                <w:sz w:val="17"/>
              </w:rPr>
              <w:t>RESTful CAD webhook integration with ERSS 112 dispatchers</w:t>
            </w:r>
          </w:p>
          <w:p>
            <w:pPr>
              <w:pStyle w:val="ListBullet"/>
              <w:spacing w:before="0" w:after="20"/>
              <w:ind w:left="288"/>
            </w:pPr>
            <w:r>
              <w:rPr>
                <w:rFonts w:ascii="Calibri" w:hAnsi="Calibri"/>
                <w:color w:val="263230"/>
                <w:sz w:val="17"/>
              </w:rPr>
              <w:t>CCTNS (Crime and Criminal Tracking Network &amp; Systems) API readiness</w:t>
            </w:r>
          </w:p>
          <w:p>
            <w:pPr>
              <w:pStyle w:val="ListBullet"/>
              <w:spacing w:before="0" w:after="20"/>
              <w:ind w:left="288"/>
            </w:pPr>
            <w:r>
              <w:rPr>
                <w:rFonts w:ascii="Calibri" w:hAnsi="Calibri"/>
                <w:color w:val="263230"/>
                <w:sz w:val="17"/>
              </w:rPr>
              <w:t>Zero disruption to existing phone infrastructure</w:t>
            </w:r>
          </w:p>
        </w:tc>
      </w:tr>
    </w:tbl>
    <w:p>
      <w:pPr>
        <w:spacing w:after="120"/>
      </w:pPr>
    </w:p>
    <w:tbl>
      <w:tblPr>
        <w:tblW w:type="auto" w:w="0"/>
        <w:jc w:val="center"/>
        <w:tblLook w:firstColumn="1" w:firstRow="1" w:lastColumn="0" w:lastRow="0" w:noHBand="0" w:noVBand="1" w:val="04A0"/>
      </w:tblPr>
      <w:tblGrid>
        <w:gridCol w:w="10080"/>
      </w:tblGrid>
      <w:tr>
        <w:tc>
          <w:tcPr>
            <w:tcW w:type="dxa" w:w="10080"/>
            <w:shd w:fill="FFFFFF"/>
            <w:tcMar>
              <w:top w:w="120" w:type="dxa"/>
              <w:bottom w:w="120" w:type="dxa"/>
              <w:left w:w="150" w:type="dxa"/>
              <w:right w:w="150" w:type="dxa"/>
            </w:tcMar>
            <w:tcBorders>
              <w:left w:val="single" w:sz="24" w:space="0" w:color="008069"/>
              <w:top w:val="single" w:sz="4" w:space="0" w:color="E2DFD3"/>
              <w:right w:val="single" w:sz="4" w:space="0" w:color="E2DFD3"/>
              <w:bottom w:val="single" w:sz="4" w:space="0" w:color="E2DFD3"/>
            </w:tcBorders>
          </w:tcPr>
          <w:p>
            <w:pPr>
              <w:spacing w:before="40" w:after="80"/>
            </w:pPr>
            <w:r>
              <w:rPr>
                <w:rFonts w:ascii="Arial" w:hAnsi="Arial"/>
                <w:b/>
                <w:color w:val="1B365D"/>
                <w:sz w:val="21"/>
              </w:rPr>
              <w:t xml:space="preserve">Q13: </w:t>
            </w:r>
            <w:r>
              <w:rPr>
                <w:rFonts w:ascii="Arial" w:hAnsi="Arial"/>
                <w:b/>
                <w:color w:val="263230"/>
                <w:sz w:val="21"/>
              </w:rPr>
              <w:t>What is the cost per query or cost to run SVI for the Ministry?</w:t>
            </w:r>
          </w:p>
          <w:p>
            <w:pPr>
              <w:spacing w:before="20" w:after="80"/>
            </w:pPr>
            <w:r>
              <w:rPr>
                <w:rFonts w:ascii="Calibri" w:hAnsi="Calibri"/>
                <w:b/>
                <w:color w:val="B45309"/>
                <w:sz w:val="18"/>
              </w:rPr>
              <w:t xml:space="preserve">🎯 What the Judge is Testing: </w:t>
            </w:r>
            <w:r>
              <w:rPr>
                <w:rFonts w:ascii="Calibri" w:hAnsi="Calibri"/>
                <w:i/>
                <w:color w:val="64716C"/>
                <w:sz w:val="18"/>
              </w:rPr>
              <w:t>Budget and cost efficiency is a favorite topic for senior government judges.</w:t>
            </w:r>
          </w:p>
          <w:p>
            <w:pPr>
              <w:spacing w:before="60" w:after="80"/>
            </w:pPr>
            <w:r>
              <w:rPr>
                <w:rFonts w:ascii="Calibri" w:hAnsi="Calibri"/>
                <w:b/>
                <w:color w:val="008069"/>
                <w:sz w:val="19"/>
              </w:rPr>
              <w:t xml:space="preserve">⚡ Winning 30-Second Pitch: </w:t>
            </w:r>
            <w:r>
              <w:rPr>
                <w:rFonts w:ascii="Calibri" w:hAnsi="Calibri"/>
                <w:color w:val="263230"/>
                <w:sz w:val="19"/>
              </w:rPr>
              <w:t>Under ₹0.08 per citizen interaction. By pairing local open-weights models (MedGemma 4B on Ollama) with low-cost high-speed cloud inference (Groq), SVI eliminates expensive enterprise SaaS subscriptions.</w:t>
            </w:r>
          </w:p>
          <w:p>
            <w:pPr>
              <w:spacing w:before="60" w:after="80"/>
            </w:pPr>
            <w:r>
              <w:rPr>
                <w:rFonts w:ascii="Calibri" w:hAnsi="Calibri"/>
                <w:b/>
                <w:color w:val="1B365D"/>
                <w:sz w:val="19"/>
              </w:rPr>
              <w:t xml:space="preserve">🔍 In-Depth Technical Explanation: </w:t>
            </w:r>
            <w:r>
              <w:rPr>
                <w:rFonts w:ascii="Calibri" w:hAnsi="Calibri"/>
                <w:color w:val="263230"/>
                <w:sz w:val="19"/>
              </w:rPr>
              <w:t>Enterprise AI platforms charge ₹2 to ₹10 per query. SVI achieves ultra-low cost by: (1) Running MedGemma 4B on existing government server hardware (Ollama on GPU nodes); (2) Using Groq LPUs costing fractions of a cent per 1,000 tokens; (3) Utilizing native browser Web APIs (Web Speech API and Web Audio API) which execute on citizen and officer client devices, incurring zero server audio processing costs.</w:t>
            </w:r>
          </w:p>
          <w:p>
            <w:pPr>
              <w:spacing w:before="60" w:after="20"/>
            </w:pPr>
            <w:r>
              <w:rPr>
                <w:rFonts w:ascii="Calibri" w:hAnsi="Calibri"/>
                <w:b/>
                <w:color w:val="263230"/>
                <w:sz w:val="18"/>
              </w:rPr>
              <w:t>💡 Key Proof Points / Terms to Mention:</w:t>
            </w:r>
          </w:p>
          <w:p>
            <w:pPr>
              <w:pStyle w:val="ListBullet"/>
              <w:spacing w:before="0" w:after="20"/>
              <w:ind w:left="288"/>
            </w:pPr>
            <w:r>
              <w:rPr>
                <w:rFonts w:ascii="Calibri" w:hAnsi="Calibri"/>
                <w:color w:val="263230"/>
                <w:sz w:val="17"/>
              </w:rPr>
              <w:t>Cost under ₹0.08 (~$0.001) per citizen session</w:t>
            </w:r>
          </w:p>
          <w:p>
            <w:pPr>
              <w:pStyle w:val="ListBullet"/>
              <w:spacing w:before="0" w:after="20"/>
              <w:ind w:left="288"/>
            </w:pPr>
            <w:r>
              <w:rPr>
                <w:rFonts w:ascii="Calibri" w:hAnsi="Calibri"/>
                <w:color w:val="263230"/>
                <w:sz w:val="17"/>
              </w:rPr>
              <w:t>Client-side execution of STT and Audio alerts (zero cloud audio compute cost)</w:t>
            </w:r>
          </w:p>
          <w:p>
            <w:pPr>
              <w:pStyle w:val="ListBullet"/>
              <w:spacing w:before="0" w:after="20"/>
              <w:ind w:left="288"/>
            </w:pPr>
            <w:r>
              <w:rPr>
                <w:rFonts w:ascii="Calibri" w:hAnsi="Calibri"/>
                <w:color w:val="263230"/>
                <w:sz w:val="17"/>
              </w:rPr>
              <w:t>Open-source foundation (LangGraph, FastAPI, Next.js, Ollama)</w:t>
            </w:r>
          </w:p>
          <w:p>
            <w:pPr>
              <w:pStyle w:val="ListBullet"/>
              <w:spacing w:before="0" w:after="20"/>
              <w:ind w:left="288"/>
            </w:pPr>
            <w:r>
              <w:rPr>
                <w:rFonts w:ascii="Calibri" w:hAnsi="Calibri"/>
                <w:color w:val="263230"/>
                <w:sz w:val="17"/>
              </w:rPr>
              <w:t>Zero vendor lock-in</w:t>
            </w:r>
          </w:p>
        </w:tc>
      </w:tr>
    </w:tbl>
    <w:p>
      <w:pPr>
        <w:spacing w:after="120"/>
      </w:pPr>
    </w:p>
    <w:p>
      <w:pPr>
        <w:keepNext/>
        <w:spacing w:before="360" w:after="120"/>
        <w:pBdr>
          <w:bottom w:val="single" w:sz="12" w:space="4" w:color="1B365D"/>
        </w:pBdr>
      </w:pPr>
      <w:r>
        <w:rPr>
          <w:rFonts w:ascii="Arial" w:hAnsi="Arial"/>
          <w:b/>
          <w:color w:val="1B365D"/>
          <w:sz w:val="27"/>
        </w:rPr>
        <w:t>Category 7: Hard Questions, Current Prototype Gaps &amp; Honest Defense</w:t>
      </w:r>
    </w:p>
    <w:tbl>
      <w:tblPr>
        <w:tblW w:type="auto" w:w="0"/>
        <w:jc w:val="center"/>
        <w:tblLook w:firstColumn="1" w:firstRow="1" w:lastColumn="0" w:lastRow="0" w:noHBand="0" w:noVBand="1" w:val="04A0"/>
      </w:tblPr>
      <w:tblGrid>
        <w:gridCol w:w="10080"/>
      </w:tblGrid>
      <w:tr>
        <w:tc>
          <w:tcPr>
            <w:tcW w:type="dxa" w:w="10080"/>
            <w:shd w:fill="FFFFFF"/>
            <w:tcMar>
              <w:top w:w="120" w:type="dxa"/>
              <w:bottom w:w="120" w:type="dxa"/>
              <w:left w:w="150" w:type="dxa"/>
              <w:right w:w="150" w:type="dxa"/>
            </w:tcMar>
            <w:tcBorders>
              <w:left w:val="single" w:sz="24" w:space="0" w:color="008069"/>
              <w:top w:val="single" w:sz="4" w:space="0" w:color="E2DFD3"/>
              <w:right w:val="single" w:sz="4" w:space="0" w:color="E2DFD3"/>
              <w:bottom w:val="single" w:sz="4" w:space="0" w:color="E2DFD3"/>
            </w:tcBorders>
          </w:tcPr>
          <w:p>
            <w:pPr>
              <w:spacing w:before="40" w:after="80"/>
            </w:pPr>
            <w:r>
              <w:rPr>
                <w:rFonts w:ascii="Arial" w:hAnsi="Arial"/>
                <w:b/>
                <w:color w:val="1B365D"/>
                <w:sz w:val="21"/>
              </w:rPr>
              <w:t xml:space="preserve">Q14: </w:t>
            </w:r>
            <w:r>
              <w:rPr>
                <w:rFonts w:ascii="Arial" w:hAnsi="Arial"/>
                <w:b/>
                <w:color w:val="263230"/>
                <w:sz w:val="21"/>
              </w:rPr>
              <w:t>I see your case queue uses mock data and LocalStorage. Where is your real database?</w:t>
            </w:r>
          </w:p>
          <w:p>
            <w:pPr>
              <w:spacing w:before="20" w:after="80"/>
            </w:pPr>
            <w:r>
              <w:rPr>
                <w:rFonts w:ascii="Calibri" w:hAnsi="Calibri"/>
                <w:b/>
                <w:color w:val="B45309"/>
                <w:sz w:val="18"/>
              </w:rPr>
              <w:t xml:space="preserve">🎯 What the Judge is Testing: </w:t>
            </w:r>
            <w:r>
              <w:rPr>
                <w:rFonts w:ascii="Calibri" w:hAnsi="Calibri"/>
                <w:i/>
                <w:color w:val="64716C"/>
                <w:sz w:val="18"/>
              </w:rPr>
              <w:t>TOUGH QUESTION: Judges will spot mockData.js. Turn it into a strength regarding demo resilience.</w:t>
            </w:r>
          </w:p>
          <w:p>
            <w:pPr>
              <w:spacing w:before="60" w:after="80"/>
            </w:pPr>
            <w:r>
              <w:rPr>
                <w:rFonts w:ascii="Calibri" w:hAnsi="Calibri"/>
                <w:b/>
                <w:color w:val="008069"/>
                <w:sz w:val="19"/>
              </w:rPr>
              <w:t xml:space="preserve">⚡ Winning 30-Second Pitch: </w:t>
            </w:r>
            <w:r>
              <w:rPr>
                <w:rFonts w:ascii="Calibri" w:hAnsi="Calibri"/>
                <w:color w:val="263230"/>
                <w:sz w:val="19"/>
              </w:rPr>
              <w:t>For the SIH prototype, we chose browser LocalStorage synchronization to deliver an instantly demonstrable, zero-latency multi-role experience without external DB connectivity failures during presentation. Our production schema is fully architected for PostgreSQL with SQLAlchemy ORM.</w:t>
            </w:r>
          </w:p>
          <w:p>
            <w:pPr>
              <w:spacing w:before="60" w:after="80"/>
            </w:pPr>
            <w:r>
              <w:rPr>
                <w:rFonts w:ascii="Calibri" w:hAnsi="Calibri"/>
                <w:b/>
                <w:color w:val="1B365D"/>
                <w:sz w:val="19"/>
              </w:rPr>
              <w:t xml:space="preserve">🔍 In-Depth Technical Explanation: </w:t>
            </w:r>
            <w:r>
              <w:rPr>
                <w:rFonts w:ascii="Calibri" w:hAnsi="Calibri"/>
                <w:color w:val="263230"/>
                <w:sz w:val="19"/>
              </w:rPr>
              <w:t>We can openly explain: 'Sir/Ma'am, for a hackathon demo, cloud database cold-starts or network interruptions can break live evaluations. Our `useCaseStore` hook perfectly mirrors an ACID-compliant repository pattern with full audit trail serialization. In our immediate production phase, we are attaching a PostgreSQL database with Prisma/SQLAlchemy, exposing standard REST CRUD routes on our existing FastAPI service.'</w:t>
            </w:r>
          </w:p>
          <w:p>
            <w:pPr>
              <w:spacing w:before="60" w:after="20"/>
            </w:pPr>
            <w:r>
              <w:rPr>
                <w:rFonts w:ascii="Calibri" w:hAnsi="Calibri"/>
                <w:b/>
                <w:color w:val="263230"/>
                <w:sz w:val="18"/>
              </w:rPr>
              <w:t>💡 Key Proof Points / Terms to Mention:</w:t>
            </w:r>
          </w:p>
          <w:p>
            <w:pPr>
              <w:pStyle w:val="ListBullet"/>
              <w:spacing w:before="0" w:after="20"/>
              <w:ind w:left="288"/>
            </w:pPr>
            <w:r>
              <w:rPr>
                <w:rFonts w:ascii="Calibri" w:hAnsi="Calibri"/>
                <w:color w:val="263230"/>
                <w:sz w:val="17"/>
              </w:rPr>
              <w:t>Honest admission: LocalStorage was chosen for rock-solid demo stability</w:t>
            </w:r>
          </w:p>
          <w:p>
            <w:pPr>
              <w:pStyle w:val="ListBullet"/>
              <w:spacing w:before="0" w:after="20"/>
              <w:ind w:left="288"/>
            </w:pPr>
            <w:r>
              <w:rPr>
                <w:rFonts w:ascii="Calibri" w:hAnsi="Calibri"/>
                <w:color w:val="263230"/>
                <w:sz w:val="17"/>
              </w:rPr>
              <w:t>Repository pattern in useCaseStore mirrors production DB interfaces</w:t>
            </w:r>
          </w:p>
          <w:p>
            <w:pPr>
              <w:pStyle w:val="ListBullet"/>
              <w:spacing w:before="0" w:after="20"/>
              <w:ind w:left="288"/>
            </w:pPr>
            <w:r>
              <w:rPr>
                <w:rFonts w:ascii="Calibri" w:hAnsi="Calibri"/>
                <w:color w:val="263230"/>
                <w:sz w:val="17"/>
              </w:rPr>
              <w:t>Immediate roadmap: PostgreSQL + SQLAlchemy + FastAPI CRUD endpoints</w:t>
            </w:r>
          </w:p>
          <w:p>
            <w:pPr>
              <w:pStyle w:val="ListBullet"/>
              <w:spacing w:before="0" w:after="20"/>
              <w:ind w:left="288"/>
            </w:pPr>
            <w:r>
              <w:rPr>
                <w:rFonts w:ascii="Calibri" w:hAnsi="Calibri"/>
                <w:color w:val="263230"/>
                <w:sz w:val="17"/>
              </w:rPr>
              <w:t>Shows maturity: Never lie about prototype mocks; justify the engineering choice!</w:t>
            </w:r>
          </w:p>
        </w:tc>
      </w:tr>
    </w:tbl>
    <w:p>
      <w:pPr>
        <w:spacing w:after="120"/>
      </w:pPr>
    </w:p>
    <w:tbl>
      <w:tblPr>
        <w:tblW w:type="auto" w:w="0"/>
        <w:jc w:val="center"/>
        <w:tblLook w:firstColumn="1" w:firstRow="1" w:lastColumn="0" w:lastRow="0" w:noHBand="0" w:noVBand="1" w:val="04A0"/>
      </w:tblPr>
      <w:tblGrid>
        <w:gridCol w:w="10080"/>
      </w:tblGrid>
      <w:tr>
        <w:tc>
          <w:tcPr>
            <w:tcW w:type="dxa" w:w="10080"/>
            <w:shd w:fill="FFFFFF"/>
            <w:tcMar>
              <w:top w:w="120" w:type="dxa"/>
              <w:bottom w:w="120" w:type="dxa"/>
              <w:left w:w="150" w:type="dxa"/>
              <w:right w:w="150" w:type="dxa"/>
            </w:tcMar>
            <w:tcBorders>
              <w:left w:val="single" w:sz="24" w:space="0" w:color="008069"/>
              <w:top w:val="single" w:sz="4" w:space="0" w:color="E2DFD3"/>
              <w:right w:val="single" w:sz="4" w:space="0" w:color="E2DFD3"/>
              <w:bottom w:val="single" w:sz="4" w:space="0" w:color="E2DFD3"/>
            </w:tcBorders>
          </w:tcPr>
          <w:p>
            <w:pPr>
              <w:spacing w:before="40" w:after="80"/>
            </w:pPr>
            <w:r>
              <w:rPr>
                <w:rFonts w:ascii="Arial" w:hAnsi="Arial"/>
                <w:b/>
                <w:color w:val="1B365D"/>
                <w:sz w:val="21"/>
              </w:rPr>
              <w:t xml:space="preserve">Q15: </w:t>
            </w:r>
            <w:r>
              <w:rPr>
                <w:rFonts w:ascii="Arial" w:hAnsi="Arial"/>
                <w:b/>
                <w:color w:val="263230"/>
                <w:sz w:val="21"/>
              </w:rPr>
              <w:t>How does a rural victim with a basic feature phone or no internet access use SVI?</w:t>
            </w:r>
          </w:p>
          <w:p>
            <w:pPr>
              <w:spacing w:before="20" w:after="80"/>
            </w:pPr>
            <w:r>
              <w:rPr>
                <w:rFonts w:ascii="Calibri" w:hAnsi="Calibri"/>
                <w:b/>
                <w:color w:val="B45309"/>
                <w:sz w:val="18"/>
              </w:rPr>
              <w:t xml:space="preserve">🎯 What the Judge is Testing: </w:t>
            </w:r>
            <w:r>
              <w:rPr>
                <w:rFonts w:ascii="Calibri" w:hAnsi="Calibri"/>
                <w:i/>
                <w:color w:val="64716C"/>
                <w:sz w:val="18"/>
              </w:rPr>
              <w:t>Directly addresses digital divide and rural inclusivity.</w:t>
            </w:r>
          </w:p>
          <w:p>
            <w:pPr>
              <w:spacing w:before="60" w:after="80"/>
            </w:pPr>
            <w:r>
              <w:rPr>
                <w:rFonts w:ascii="Calibri" w:hAnsi="Calibri"/>
                <w:b/>
                <w:color w:val="008069"/>
                <w:sz w:val="19"/>
              </w:rPr>
              <w:t xml:space="preserve">⚡ Winning 30-Second Pitch: </w:t>
            </w:r>
            <w:r>
              <w:rPr>
                <w:rFonts w:ascii="Calibri" w:hAnsi="Calibri"/>
                <w:color w:val="263230"/>
                <w:sz w:val="19"/>
              </w:rPr>
              <w:t>Through our IVRS (Interactive Voice Response System) gateway. The same LangGraph ReAct agent and emergency telephony tools connect to traditional PSTN phone calls using Twilio Voice or C-DAC's national telephony gateway.</w:t>
            </w:r>
          </w:p>
          <w:p>
            <w:pPr>
              <w:spacing w:before="60" w:after="80"/>
            </w:pPr>
            <w:r>
              <w:rPr>
                <w:rFonts w:ascii="Calibri" w:hAnsi="Calibri"/>
                <w:b/>
                <w:color w:val="1B365D"/>
                <w:sz w:val="19"/>
              </w:rPr>
              <w:t xml:space="preserve">🔍 In-Depth Technical Explanation: </w:t>
            </w:r>
            <w:r>
              <w:rPr>
                <w:rFonts w:ascii="Calibri" w:hAnsi="Calibri"/>
                <w:color w:val="263230"/>
                <w:sz w:val="19"/>
              </w:rPr>
              <w:t>While our web prototype showcases the smartphone/WhatsApp experience (over 500 million WhatsApp users in India), our backend `emergency_call_tool` and Twilio voice integration demonstrate that the SVI core intelligence engine can receive standard voice calls from basic ₹1,000 feature phones over toll-free 14566. The audio is transcribed, evaluated by SVI, and synthesized back into regional speech (TTS).</w:t>
            </w:r>
          </w:p>
          <w:p>
            <w:pPr>
              <w:spacing w:before="60" w:after="20"/>
            </w:pPr>
            <w:r>
              <w:rPr>
                <w:rFonts w:ascii="Calibri" w:hAnsi="Calibri"/>
                <w:b/>
                <w:color w:val="263230"/>
                <w:sz w:val="18"/>
              </w:rPr>
              <w:t>💡 Key Proof Points / Terms to Mention:</w:t>
            </w:r>
          </w:p>
          <w:p>
            <w:pPr>
              <w:pStyle w:val="ListBullet"/>
              <w:spacing w:before="0" w:after="20"/>
              <w:ind w:left="288"/>
            </w:pPr>
            <w:r>
              <w:rPr>
                <w:rFonts w:ascii="Calibri" w:hAnsi="Calibri"/>
                <w:color w:val="263230"/>
                <w:sz w:val="17"/>
              </w:rPr>
              <w:t>500M+ WhatsApp users in India covered by Web Portal</w:t>
            </w:r>
          </w:p>
          <w:p>
            <w:pPr>
              <w:pStyle w:val="ListBullet"/>
              <w:spacing w:before="0" w:after="20"/>
              <w:ind w:left="288"/>
            </w:pPr>
            <w:r>
              <w:rPr>
                <w:rFonts w:ascii="Calibri" w:hAnsi="Calibri"/>
                <w:color w:val="263230"/>
                <w:sz w:val="17"/>
              </w:rPr>
              <w:t>Feature phones supported via IVRS / PSTN telephony gateway</w:t>
            </w:r>
          </w:p>
          <w:p>
            <w:pPr>
              <w:pStyle w:val="ListBullet"/>
              <w:spacing w:before="0" w:after="20"/>
              <w:ind w:left="288"/>
            </w:pPr>
            <w:r>
              <w:rPr>
                <w:rFonts w:ascii="Calibri" w:hAnsi="Calibri"/>
                <w:color w:val="263230"/>
                <w:sz w:val="17"/>
              </w:rPr>
              <w:t>Twilio Voice integration demonstrates working voice telephony bridge</w:t>
            </w:r>
          </w:p>
          <w:p>
            <w:pPr>
              <w:pStyle w:val="ListBullet"/>
              <w:spacing w:before="0" w:after="20"/>
              <w:ind w:left="288"/>
            </w:pPr>
            <w:r>
              <w:rPr>
                <w:rFonts w:ascii="Calibri" w:hAnsi="Calibri"/>
                <w:color w:val="263230"/>
                <w:sz w:val="17"/>
              </w:rPr>
              <w:t>C-DAC / Bhashini integration for 22 scheduled Indian languages</w:t>
            </w:r>
          </w:p>
        </w:tc>
      </w:tr>
    </w:tbl>
    <w:p>
      <w:pPr>
        <w:spacing w:after="120"/>
      </w:pPr>
    </w:p>
    <w:tbl>
      <w:tblPr>
        <w:tblW w:type="auto" w:w="0"/>
        <w:jc w:val="center"/>
        <w:tblLook w:firstColumn="1" w:firstRow="1" w:lastColumn="0" w:lastRow="0" w:noHBand="0" w:noVBand="1" w:val="04A0"/>
      </w:tblPr>
      <w:tblGrid>
        <w:gridCol w:w="10080"/>
      </w:tblGrid>
      <w:tr>
        <w:tc>
          <w:tcPr>
            <w:tcW w:type="dxa" w:w="10080"/>
            <w:shd w:fill="FFFFFF"/>
            <w:tcMar>
              <w:top w:w="120" w:type="dxa"/>
              <w:bottom w:w="120" w:type="dxa"/>
              <w:left w:w="150" w:type="dxa"/>
              <w:right w:w="150" w:type="dxa"/>
            </w:tcMar>
            <w:tcBorders>
              <w:left w:val="single" w:sz="24" w:space="0" w:color="008069"/>
              <w:top w:val="single" w:sz="4" w:space="0" w:color="E2DFD3"/>
              <w:right w:val="single" w:sz="4" w:space="0" w:color="E2DFD3"/>
              <w:bottom w:val="single" w:sz="4" w:space="0" w:color="E2DFD3"/>
            </w:tcBorders>
          </w:tcPr>
          <w:p>
            <w:pPr>
              <w:spacing w:before="40" w:after="80"/>
            </w:pPr>
            <w:r>
              <w:rPr>
                <w:rFonts w:ascii="Arial" w:hAnsi="Arial"/>
                <w:b/>
                <w:color w:val="1B365D"/>
                <w:sz w:val="21"/>
              </w:rPr>
              <w:t xml:space="preserve">Q16: </w:t>
            </w:r>
            <w:r>
              <w:rPr>
                <w:rFonts w:ascii="Arial" w:hAnsi="Arial"/>
                <w:b/>
                <w:color w:val="263230"/>
                <w:sz w:val="21"/>
              </w:rPr>
              <w:t>What are the 3 biggest things you will complete before launching this into production?</w:t>
            </w:r>
          </w:p>
          <w:p>
            <w:pPr>
              <w:spacing w:before="20" w:after="80"/>
            </w:pPr>
            <w:r>
              <w:rPr>
                <w:rFonts w:ascii="Calibri" w:hAnsi="Calibri"/>
                <w:b/>
                <w:color w:val="B45309"/>
                <w:sz w:val="18"/>
              </w:rPr>
              <w:t xml:space="preserve">🎯 What the Judge is Testing: </w:t>
            </w:r>
            <w:r>
              <w:rPr>
                <w:rFonts w:ascii="Calibri" w:hAnsi="Calibri"/>
                <w:i/>
                <w:color w:val="64716C"/>
                <w:sz w:val="18"/>
              </w:rPr>
              <w:t>The perfect closing question: leaves the judges impressed with your vision and self-awareness.</w:t>
            </w:r>
          </w:p>
          <w:p>
            <w:pPr>
              <w:spacing w:before="60" w:after="80"/>
            </w:pPr>
            <w:r>
              <w:rPr>
                <w:rFonts w:ascii="Calibri" w:hAnsi="Calibri"/>
                <w:b/>
                <w:color w:val="008069"/>
                <w:sz w:val="19"/>
              </w:rPr>
              <w:t xml:space="preserve">⚡ Winning 30-Second Pitch: </w:t>
            </w:r>
            <w:r>
              <w:rPr>
                <w:rFonts w:ascii="Calibri" w:hAnsi="Calibri"/>
                <w:color w:val="263230"/>
                <w:sz w:val="19"/>
              </w:rPr>
              <w:t>1. Replace client LocalStorage with a production PostgreSQL database and cryptographically signed JWT auth. 2. Integrate Project Bhashini for real-time speech recognition across 22 Indian languages. 3. Integrate live audio acoustic ML inference (Librosa/Wav2Vec) for real-time vocal tremor detection.</w:t>
            </w:r>
          </w:p>
          <w:p>
            <w:pPr>
              <w:spacing w:before="60" w:after="80"/>
            </w:pPr>
            <w:r>
              <w:rPr>
                <w:rFonts w:ascii="Calibri" w:hAnsi="Calibri"/>
                <w:b/>
                <w:color w:val="1B365D"/>
                <w:sz w:val="19"/>
              </w:rPr>
              <w:t xml:space="preserve">🔍 In-Depth Technical Explanation: </w:t>
            </w:r>
            <w:r>
              <w:rPr>
                <w:rFonts w:ascii="Calibri" w:hAnsi="Calibri"/>
                <w:color w:val="263230"/>
                <w:sz w:val="19"/>
              </w:rPr>
              <w:t>Our prototype successfully proves the end-to-end concept: intelligent intake, dual-model triage, Twilio emergency calls, and human oversight. To transition to national deployment: (1) Data Persistence: Deploy PostgreSQL with automated backup and role-based access control (RBAC); (2) Linguistic Expansion: Partner with Digital India Bhashini to support voice-in/voice-out across all 22 official languages; (3) Multi-modal ML: Connect our speech intake to a dedicated speech emotion recognition (SER) pipeline to extract jitter and shimmer directly from citizen voice recordings.</w:t>
            </w:r>
          </w:p>
          <w:p>
            <w:pPr>
              <w:spacing w:before="60" w:after="20"/>
            </w:pPr>
            <w:r>
              <w:rPr>
                <w:rFonts w:ascii="Calibri" w:hAnsi="Calibri"/>
                <w:b/>
                <w:color w:val="263230"/>
                <w:sz w:val="18"/>
              </w:rPr>
              <w:t>💡 Key Proof Points / Terms to Mention:</w:t>
            </w:r>
          </w:p>
          <w:p>
            <w:pPr>
              <w:pStyle w:val="ListBullet"/>
              <w:spacing w:before="0" w:after="20"/>
              <w:ind w:left="288"/>
            </w:pPr>
            <w:r>
              <w:rPr>
                <w:rFonts w:ascii="Calibri" w:hAnsi="Calibri"/>
                <w:color w:val="263230"/>
                <w:sz w:val="17"/>
              </w:rPr>
              <w:t>1. PostgreSQL database &amp; JWT authentication</w:t>
            </w:r>
          </w:p>
          <w:p>
            <w:pPr>
              <w:pStyle w:val="ListBullet"/>
              <w:spacing w:before="0" w:after="20"/>
              <w:ind w:left="288"/>
            </w:pPr>
            <w:r>
              <w:rPr>
                <w:rFonts w:ascii="Calibri" w:hAnsi="Calibri"/>
                <w:color w:val="263230"/>
                <w:sz w:val="17"/>
              </w:rPr>
              <w:t>2. Digital India Bhashini integration (22 languages)</w:t>
            </w:r>
          </w:p>
          <w:p>
            <w:pPr>
              <w:pStyle w:val="ListBullet"/>
              <w:spacing w:before="0" w:after="20"/>
              <w:ind w:left="288"/>
            </w:pPr>
            <w:r>
              <w:rPr>
                <w:rFonts w:ascii="Calibri" w:hAnsi="Calibri"/>
                <w:color w:val="263230"/>
                <w:sz w:val="17"/>
              </w:rPr>
              <w:t>3. Real acoustic ML inference (Librosa / Speech Emotion Recognition)</w:t>
            </w:r>
          </w:p>
          <w:p>
            <w:pPr>
              <w:pStyle w:val="ListBullet"/>
              <w:spacing w:before="0" w:after="20"/>
              <w:ind w:left="288"/>
            </w:pPr>
            <w:r>
              <w:rPr>
                <w:rFonts w:ascii="Calibri" w:hAnsi="Calibri"/>
                <w:color w:val="263230"/>
                <w:sz w:val="17"/>
              </w:rPr>
              <w:t>Clear, confident, achievable roadmap</w:t>
            </w:r>
          </w:p>
        </w:tc>
      </w:tr>
    </w:tbl>
    <w:p>
      <w:pPr>
        <w:spacing w:after="120"/>
      </w:pPr>
    </w:p>
    <w:p>
      <w:pPr>
        <w:keepNext/>
        <w:spacing w:before="360" w:after="120"/>
        <w:pBdr>
          <w:bottom w:val="single" w:sz="12" w:space="4" w:color="1B365D"/>
        </w:pBdr>
      </w:pPr>
      <w:r>
        <w:rPr>
          <w:rFonts w:ascii="Arial" w:hAnsi="Arial"/>
          <w:b/>
          <w:color w:val="1B365D"/>
          <w:sz w:val="27"/>
        </w:rPr>
        <w:t>8. Quick Reference Defense Cheat Sheet</w:t>
      </w:r>
    </w:p>
    <w:tbl>
      <w:tblPr>
        <w:tblW w:type="auto" w:w="0"/>
        <w:jc w:val="center"/>
        <w:tblLook w:firstColumn="1" w:firstRow="1" w:lastColumn="0" w:lastRow="0" w:noHBand="0" w:noVBand="1" w:val="04A0"/>
      </w:tblPr>
      <w:tblGrid>
        <w:gridCol w:w="3360"/>
        <w:gridCol w:w="3360"/>
        <w:gridCol w:w="3360"/>
      </w:tblGrid>
      <w:tr>
        <w:tc>
          <w:tcPr>
            <w:tcW w:type="dxa" w:w="3360"/>
            <w:shd w:fill="1B365D"/>
            <w:tcMar>
              <w:top w:w="70" w:type="dxa"/>
              <w:bottom w:w="70" w:type="dxa"/>
              <w:left w:w="90" w:type="dxa"/>
              <w:right w:w="90" w:type="dxa"/>
            </w:tcMar>
          </w:tcPr>
          <w:p>
            <w:pPr>
              <w:spacing w:before="60" w:after="60"/>
            </w:pPr>
            <w:r>
              <w:rPr>
                <w:rFonts w:ascii="Arial" w:hAnsi="Arial"/>
                <w:b/>
                <w:color w:val="FFFFFF"/>
                <w:sz w:val="19"/>
              </w:rPr>
              <w:t>Dimension</w:t>
            </w:r>
          </w:p>
        </w:tc>
        <w:tc>
          <w:tcPr>
            <w:tcW w:type="dxa" w:w="3360"/>
            <w:shd w:fill="1B365D"/>
            <w:tcMar>
              <w:top w:w="70" w:type="dxa"/>
              <w:bottom w:w="70" w:type="dxa"/>
              <w:left w:w="90" w:type="dxa"/>
              <w:right w:w="90" w:type="dxa"/>
            </w:tcMar>
          </w:tcPr>
          <w:p>
            <w:pPr>
              <w:spacing w:before="60" w:after="60"/>
            </w:pPr>
            <w:r>
              <w:rPr>
                <w:rFonts w:ascii="Arial" w:hAnsi="Arial"/>
                <w:b/>
                <w:color w:val="FFFFFF"/>
                <w:sz w:val="19"/>
              </w:rPr>
              <w:t>What the Prototype Demonstrates</w:t>
            </w:r>
          </w:p>
        </w:tc>
        <w:tc>
          <w:tcPr>
            <w:tcW w:type="dxa" w:w="3360"/>
            <w:shd w:fill="1B365D"/>
            <w:tcMar>
              <w:top w:w="70" w:type="dxa"/>
              <w:bottom w:w="70" w:type="dxa"/>
              <w:left w:w="90" w:type="dxa"/>
              <w:right w:w="90" w:type="dxa"/>
            </w:tcMar>
          </w:tcPr>
          <w:p>
            <w:pPr>
              <w:spacing w:before="60" w:after="60"/>
            </w:pPr>
            <w:r>
              <w:rPr>
                <w:rFonts w:ascii="Arial" w:hAnsi="Arial"/>
                <w:b/>
                <w:color w:val="FFFFFF"/>
                <w:sz w:val="19"/>
              </w:rPr>
              <w:t>What to Say to the Judge</w:t>
            </w:r>
          </w:p>
        </w:tc>
      </w:tr>
      <w:tr>
        <w:tc>
          <w:tcPr>
            <w:tcW w:type="dxa" w:w="3360"/>
            <w:shd w:fill="F8F9FA"/>
            <w:tcMar>
              <w:top w:w="70" w:type="dxa"/>
              <w:bottom w:w="70" w:type="dxa"/>
              <w:left w:w="90" w:type="dxa"/>
              <w:right w:w="90" w:type="dxa"/>
            </w:tcMar>
          </w:tcPr>
          <w:p>
            <w:pPr>
              <w:spacing w:before="60" w:after="60"/>
            </w:pPr>
            <w:r>
              <w:rPr>
                <w:rFonts w:ascii="Calibri" w:hAnsi="Calibri"/>
                <w:color w:val="263230"/>
                <w:sz w:val="17"/>
              </w:rPr>
              <w:t>Core AI Engine</w:t>
            </w:r>
          </w:p>
        </w:tc>
        <w:tc>
          <w:tcPr>
            <w:tcW w:type="dxa" w:w="3360"/>
            <w:shd w:fill="F8F9FA"/>
            <w:tcMar>
              <w:top w:w="70" w:type="dxa"/>
              <w:bottom w:w="70" w:type="dxa"/>
              <w:left w:w="90" w:type="dxa"/>
              <w:right w:w="90" w:type="dxa"/>
            </w:tcMar>
          </w:tcPr>
          <w:p>
            <w:pPr>
              <w:spacing w:before="60" w:after="60"/>
            </w:pPr>
            <w:r>
              <w:rPr>
                <w:rFonts w:ascii="Calibri" w:hAnsi="Calibri"/>
                <w:color w:val="263230"/>
                <w:sz w:val="17"/>
              </w:rPr>
              <w:t>LangGraph ReAct + ChatGroq 120B + MedGemma 4B</w:t>
            </w:r>
          </w:p>
        </w:tc>
        <w:tc>
          <w:tcPr>
            <w:tcW w:type="dxa" w:w="3360"/>
            <w:shd w:fill="F8F9FA"/>
            <w:tcMar>
              <w:top w:w="70" w:type="dxa"/>
              <w:bottom w:w="70" w:type="dxa"/>
              <w:left w:w="90" w:type="dxa"/>
              <w:right w:w="90" w:type="dxa"/>
            </w:tcMar>
          </w:tcPr>
          <w:p>
            <w:pPr>
              <w:spacing w:before="60" w:after="60"/>
            </w:pPr>
            <w:r>
              <w:rPr>
                <w:rFonts w:ascii="Calibri" w:hAnsi="Calibri"/>
                <w:color w:val="263230"/>
                <w:sz w:val="17"/>
              </w:rPr>
              <w:t>'We use a multi-model ReAct architecture combining fast routing with clinical domain therapy.'</w:t>
            </w:r>
          </w:p>
        </w:tc>
      </w:tr>
      <w:tr>
        <w:tc>
          <w:tcPr>
            <w:tcW w:type="dxa" w:w="3360"/>
            <w:shd w:fill="FFFFFF"/>
            <w:tcMar>
              <w:top w:w="70" w:type="dxa"/>
              <w:bottom w:w="70" w:type="dxa"/>
              <w:left w:w="90" w:type="dxa"/>
              <w:right w:w="90" w:type="dxa"/>
            </w:tcMar>
          </w:tcPr>
          <w:p>
            <w:pPr>
              <w:spacing w:before="60" w:after="60"/>
            </w:pPr>
            <w:r>
              <w:rPr>
                <w:rFonts w:ascii="Calibri" w:hAnsi="Calibri"/>
                <w:color w:val="263230"/>
                <w:sz w:val="17"/>
              </w:rPr>
              <w:t>Telephony</w:t>
            </w:r>
          </w:p>
        </w:tc>
        <w:tc>
          <w:tcPr>
            <w:tcW w:type="dxa" w:w="3360"/>
            <w:shd w:fill="FFFFFF"/>
            <w:tcMar>
              <w:top w:w="70" w:type="dxa"/>
              <w:bottom w:w="70" w:type="dxa"/>
              <w:left w:w="90" w:type="dxa"/>
              <w:right w:w="90" w:type="dxa"/>
            </w:tcMar>
          </w:tcPr>
          <w:p>
            <w:pPr>
              <w:spacing w:before="60" w:after="60"/>
            </w:pPr>
            <w:r>
              <w:rPr>
                <w:rFonts w:ascii="Calibri" w:hAnsi="Calibri"/>
                <w:color w:val="263230"/>
                <w:sz w:val="17"/>
              </w:rPr>
              <w:t>Twilio REST Client triggering automated emergency calls</w:t>
            </w:r>
          </w:p>
        </w:tc>
        <w:tc>
          <w:tcPr>
            <w:tcW w:type="dxa" w:w="3360"/>
            <w:shd w:fill="FFFFFF"/>
            <w:tcMar>
              <w:top w:w="70" w:type="dxa"/>
              <w:bottom w:w="70" w:type="dxa"/>
              <w:left w:w="90" w:type="dxa"/>
              <w:right w:w="90" w:type="dxa"/>
            </w:tcMar>
          </w:tcPr>
          <w:p>
            <w:pPr>
              <w:spacing w:before="60" w:after="60"/>
            </w:pPr>
            <w:r>
              <w:rPr>
                <w:rFonts w:ascii="Calibri" w:hAnsi="Calibri"/>
                <w:color w:val="263230"/>
                <w:sz w:val="17"/>
              </w:rPr>
              <w:t>'Imminent threats autonomously ring emergency safety officers via Twilio Voice API.'</w:t>
            </w:r>
          </w:p>
        </w:tc>
      </w:tr>
      <w:tr>
        <w:tc>
          <w:tcPr>
            <w:tcW w:type="dxa" w:w="3360"/>
            <w:shd w:fill="F8F9FA"/>
            <w:tcMar>
              <w:top w:w="70" w:type="dxa"/>
              <w:bottom w:w="70" w:type="dxa"/>
              <w:left w:w="90" w:type="dxa"/>
              <w:right w:w="90" w:type="dxa"/>
            </w:tcMar>
          </w:tcPr>
          <w:p>
            <w:pPr>
              <w:spacing w:before="60" w:after="60"/>
            </w:pPr>
            <w:r>
              <w:rPr>
                <w:rFonts w:ascii="Calibri" w:hAnsi="Calibri"/>
                <w:color w:val="263230"/>
                <w:sz w:val="17"/>
              </w:rPr>
              <w:t>Human-in-the-Loop</w:t>
            </w:r>
          </w:p>
        </w:tc>
        <w:tc>
          <w:tcPr>
            <w:tcW w:type="dxa" w:w="3360"/>
            <w:shd w:fill="F8F9FA"/>
            <w:tcMar>
              <w:top w:w="70" w:type="dxa"/>
              <w:bottom w:w="70" w:type="dxa"/>
              <w:left w:w="90" w:type="dxa"/>
              <w:right w:w="90" w:type="dxa"/>
            </w:tcMar>
          </w:tcPr>
          <w:p>
            <w:pPr>
              <w:spacing w:before="60" w:after="60"/>
            </w:pPr>
            <w:r>
              <w:rPr>
                <w:rFonts w:ascii="Calibri" w:hAnsi="Calibri"/>
                <w:color w:val="263230"/>
                <w:sz w:val="17"/>
              </w:rPr>
              <w:t>HumanActionForm with mandatory rationale &amp; audit trail</w:t>
            </w:r>
          </w:p>
        </w:tc>
        <w:tc>
          <w:tcPr>
            <w:tcW w:type="dxa" w:w="3360"/>
            <w:shd w:fill="F8F9FA"/>
            <w:tcMar>
              <w:top w:w="70" w:type="dxa"/>
              <w:bottom w:w="70" w:type="dxa"/>
              <w:left w:w="90" w:type="dxa"/>
              <w:right w:w="90" w:type="dxa"/>
            </w:tcMar>
          </w:tcPr>
          <w:p>
            <w:pPr>
              <w:spacing w:before="60" w:after="60"/>
            </w:pPr>
            <w:r>
              <w:rPr>
                <w:rFonts w:ascii="Calibri" w:hAnsi="Calibri"/>
                <w:color w:val="263230"/>
                <w:sz w:val="17"/>
              </w:rPr>
              <w:t>'AI only recommends; human officers retain full legal authority with immutable audit logs.'</w:t>
            </w:r>
          </w:p>
        </w:tc>
      </w:tr>
      <w:tr>
        <w:tc>
          <w:tcPr>
            <w:tcW w:type="dxa" w:w="3360"/>
            <w:shd w:fill="FFFFFF"/>
            <w:tcMar>
              <w:top w:w="70" w:type="dxa"/>
              <w:bottom w:w="70" w:type="dxa"/>
              <w:left w:w="90" w:type="dxa"/>
              <w:right w:w="90" w:type="dxa"/>
            </w:tcMar>
          </w:tcPr>
          <w:p>
            <w:pPr>
              <w:spacing w:before="60" w:after="60"/>
            </w:pPr>
            <w:r>
              <w:rPr>
                <w:rFonts w:ascii="Calibri" w:hAnsi="Calibri"/>
                <w:color w:val="263230"/>
                <w:sz w:val="17"/>
              </w:rPr>
              <w:t>Privacy &amp; DPDP</w:t>
            </w:r>
          </w:p>
        </w:tc>
        <w:tc>
          <w:tcPr>
            <w:tcW w:type="dxa" w:w="3360"/>
            <w:shd w:fill="FFFFFF"/>
            <w:tcMar>
              <w:top w:w="70" w:type="dxa"/>
              <w:bottom w:w="70" w:type="dxa"/>
              <w:left w:w="90" w:type="dxa"/>
              <w:right w:w="90" w:type="dxa"/>
            </w:tcMar>
          </w:tcPr>
          <w:p>
            <w:pPr>
              <w:spacing w:before="60" w:after="60"/>
            </w:pPr>
            <w:r>
              <w:rPr>
                <w:rFonts w:ascii="Calibri" w:hAnsi="Calibri"/>
                <w:color w:val="263230"/>
                <w:sz w:val="17"/>
              </w:rPr>
              <w:t>ConsentModal, /consent center, transcript redaction</w:t>
            </w:r>
          </w:p>
        </w:tc>
        <w:tc>
          <w:tcPr>
            <w:tcW w:type="dxa" w:w="3360"/>
            <w:shd w:fill="FFFFFF"/>
            <w:tcMar>
              <w:top w:w="70" w:type="dxa"/>
              <w:bottom w:w="70" w:type="dxa"/>
              <w:left w:w="90" w:type="dxa"/>
              <w:right w:w="90" w:type="dxa"/>
            </w:tcMar>
          </w:tcPr>
          <w:p>
            <w:pPr>
              <w:spacing w:before="60" w:after="60"/>
            </w:pPr>
            <w:r>
              <w:rPr>
                <w:rFonts w:ascii="Calibri" w:hAnsi="Calibri"/>
                <w:color w:val="263230"/>
                <w:sz w:val="17"/>
              </w:rPr>
              <w:t>'We implement privacy-by-design: anonymous tickets, revocable consent, and de-identified analytics.'</w:t>
            </w:r>
          </w:p>
        </w:tc>
      </w:tr>
      <w:tr>
        <w:tc>
          <w:tcPr>
            <w:tcW w:type="dxa" w:w="3360"/>
            <w:shd w:fill="F8F9FA"/>
            <w:tcMar>
              <w:top w:w="70" w:type="dxa"/>
              <w:bottom w:w="70" w:type="dxa"/>
              <w:left w:w="90" w:type="dxa"/>
              <w:right w:w="90" w:type="dxa"/>
            </w:tcMar>
          </w:tcPr>
          <w:p>
            <w:pPr>
              <w:spacing w:before="60" w:after="60"/>
            </w:pPr>
            <w:r>
              <w:rPr>
                <w:rFonts w:ascii="Calibri" w:hAnsi="Calibri"/>
                <w:color w:val="263230"/>
                <w:sz w:val="17"/>
              </w:rPr>
              <w:t>Bilingual Voice</w:t>
            </w:r>
          </w:p>
        </w:tc>
        <w:tc>
          <w:tcPr>
            <w:tcW w:type="dxa" w:w="3360"/>
            <w:shd w:fill="F8F9FA"/>
            <w:tcMar>
              <w:top w:w="70" w:type="dxa"/>
              <w:bottom w:w="70" w:type="dxa"/>
              <w:left w:w="90" w:type="dxa"/>
              <w:right w:w="90" w:type="dxa"/>
            </w:tcMar>
          </w:tcPr>
          <w:p>
            <w:pPr>
              <w:spacing w:before="60" w:after="60"/>
            </w:pPr>
            <w:r>
              <w:rPr>
                <w:rFonts w:ascii="Calibri" w:hAnsi="Calibri"/>
                <w:color w:val="263230"/>
                <w:sz w:val="17"/>
              </w:rPr>
              <w:t>Web Speech API (hi-IN, en-IN) &amp; 880Hz Web Audio alert</w:t>
            </w:r>
          </w:p>
        </w:tc>
        <w:tc>
          <w:tcPr>
            <w:tcW w:type="dxa" w:w="3360"/>
            <w:shd w:fill="F8F9FA"/>
            <w:tcMar>
              <w:top w:w="70" w:type="dxa"/>
              <w:bottom w:w="70" w:type="dxa"/>
              <w:left w:w="90" w:type="dxa"/>
              <w:right w:w="90" w:type="dxa"/>
            </w:tcMar>
          </w:tcPr>
          <w:p>
            <w:pPr>
              <w:spacing w:before="60" w:after="60"/>
            </w:pPr>
            <w:r>
              <w:rPr>
                <w:rFonts w:ascii="Calibri" w:hAnsi="Calibri"/>
                <w:color w:val="263230"/>
                <w:sz w:val="17"/>
              </w:rPr>
              <w:t>'Zero-latency client-side Web APIs eliminate server audio compute costs and protect privacy.'</w:t>
            </w:r>
          </w:p>
        </w:tc>
      </w:tr>
    </w:tbl>
    <w:p>
      <w:pPr>
        <w:spacing w:after="240"/>
      </w:pPr>
    </w:p>
    <w:tbl>
      <w:tblPr>
        <w:tblW w:type="auto" w:w="0"/>
        <w:jc w:val="center"/>
        <w:tblLook w:firstColumn="1" w:firstRow="1" w:lastColumn="0" w:lastRow="0" w:noHBand="0" w:noVBand="1" w:val="04A0"/>
      </w:tblPr>
      <w:tblGrid>
        <w:gridCol w:w="10080"/>
      </w:tblGrid>
      <w:tr>
        <w:tc>
          <w:tcPr>
            <w:tcW w:type="dxa" w:w="10080"/>
            <w:shd w:fill="F0F4F8"/>
            <w:tcMar>
              <w:top w:w="100" w:type="dxa"/>
              <w:bottom w:w="100" w:type="dxa"/>
              <w:left w:w="150" w:type="dxa"/>
              <w:right w:w="150" w:type="dxa"/>
            </w:tcMar>
            <w:tcBorders>
              <w:left w:val="single" w:sz="20" w:space="0" w:color="1B365D"/>
              <w:top w:val="none"/>
              <w:right w:val="none"/>
              <w:bottom w:val="none"/>
            </w:tcBorders>
          </w:tcPr>
          <w:p>
            <w:pPr>
              <w:spacing w:before="40" w:after="40"/>
            </w:pPr>
            <w:r>
              <w:rPr>
                <w:rFonts w:ascii="Arial" w:hAnsi="Arial"/>
                <w:b/>
                <w:color w:val="1B365D"/>
                <w:sz w:val="19"/>
              </w:rPr>
              <w:t xml:space="preserve">[FINAL TIP] </w:t>
            </w:r>
            <w:r>
              <w:rPr>
                <w:rFonts w:ascii="Calibri" w:hAnsi="Calibri"/>
                <w:color w:val="263230"/>
                <w:sz w:val="18"/>
              </w:rPr>
              <w:t>Remember: Confidence, honesty about the prototype status, and demonstrating deep knowledge of the problem statement, statutory laws (PoA Act), and DPDP compliance is what wins SIH. Good luck Team Veom Vegas!</w:t>
            </w:r>
          </w:p>
        </w:tc>
      </w:tr>
    </w:tbl>
    <w:p>
      <w:pPr>
        <w:spacing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