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000000"/>
          <w:sz w:val="20"/>
        </w:rPr>
        <w:t>SMART INDIA HACKATHON 2026 • SYSTEM ARCHITECTURE SPECIFICATION</w:t>
        <w:br/>
      </w:r>
      <w:r>
        <w:rPr>
          <w:rFonts w:ascii="Calibri" w:hAnsi="Calibri"/>
          <w:b/>
          <w:i w:val="0"/>
          <w:color w:val="000000"/>
          <w:sz w:val="40"/>
        </w:rPr>
        <w:t>SVI — Smart Victim Intelligence</w:t>
        <w:br/>
        <w:t>Technical Flow &amp; Architecture Specification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000000"/>
          <w:sz w:val="21"/>
        </w:rPr>
        <w:t>National Helpline Against Atrocities (NHAA 14566) • Ministry of Social Justice &amp; Empowerment</w:t>
      </w:r>
    </w:p>
    <w:p>
      <w:pPr>
        <w:spacing w:after="240"/>
        <w:pBdr>
          <w:bottom w:val="single" w:sz="12" w:space="1" w:color="000000"/>
        </w:pBdr>
      </w:pP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32"/>
        </w:rPr>
        <w:t>1. Executive Summary &amp; Architectural Overview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SVI (Smart Victim Intelligence) is an enterprise-grade, multimodal AI triage and crisis assessment system designed to augment India's National Helpline Against Atrocities (NHAA 14566). The platform processes inbound multi-channel communications (PSTN telephony, web portal, progressive web app, mobile application, and interactive voice response systems) to perform real-time, non-diagnostic stress and trauma classification while strictly preserving victim confidentiality in full compliance with the Digital Personal Data Protection (DPDP) Act 2023.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Unlike conventional conversational bots, SVI implements a dual-stream analytical pipeline: Stream A extracts acoustic biomarkers and prosodic tremors directly from raw telephony audio via openSMILE (eGeMAPS), while Stream B performs clinical NLP semantic matching against DSM-5 and PCL-5 acute trauma criteria using a LangGraph ReAct agent powered by Groq LLM (gpt-oss-120b). A mathematical late-fusion layer synthesizes these orthogonal signals into an actionable 0–100 Risk Score, feeding an authorized Human-in-the-Loop (HITL) triage dashboard.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32"/>
        </w:rPr>
        <w:t>2. End-to-End Technical Architecture Flow Diagram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The complete technical architecture flow diagram is illustrated below: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4080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8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000000"/>
          <w:sz w:val="19"/>
        </w:rPr>
        <w:t>Figure 1: SVI Production Technical Flow &amp; System Architecture (Monochrome Specification)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32"/>
        </w:rPr>
        <w:t>3. Omni-Channel Ingress Gateway Layer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All victim touchpoints are routed through an enterprise ingress layer protected by Cloudflare Web Application Firewall (WAF) with TLS 1.3 encryption and token-bucket rate limiting: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14566 PSTN Telephony: </w:t>
      </w:r>
      <w:r>
        <w:rPr>
          <w:rFonts w:ascii="Calibri" w:hAnsi="Calibri"/>
          <w:b w:val="0"/>
          <w:i w:val="0"/>
          <w:color w:val="000000"/>
          <w:sz w:val="21"/>
        </w:rPr>
        <w:t>SIP Trunking via Asterisk PBX for G.711 / Linear PCM audio capture from national PSTN telecom operators.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Web Portal: </w:t>
      </w:r>
      <w:r>
        <w:rPr>
          <w:rFonts w:ascii="Calibri" w:hAnsi="Calibri"/>
          <w:b w:val="0"/>
          <w:i w:val="0"/>
          <w:color w:val="000000"/>
          <w:sz w:val="21"/>
        </w:rPr>
        <w:t>Next.js 16 App Router interface providing responsive, server-side rendered citizen reporting forms adhering to GIGW and WAI-ARIA standards.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Chatbot / PWA: </w:t>
      </w:r>
      <w:r>
        <w:rPr>
          <w:rFonts w:ascii="Calibri" w:hAnsi="Calibri"/>
          <w:b w:val="0"/>
          <w:i w:val="0"/>
          <w:color w:val="000000"/>
          <w:sz w:val="21"/>
        </w:rPr>
        <w:t>Real-time bi-directional messaging powered by FastAPI ASGI WebSockets with browser Web Speech API integration for Hindi (hi-IN) and English (en-IN).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Mobile App: </w:t>
      </w:r>
      <w:r>
        <w:rPr>
          <w:rFonts w:ascii="Calibri" w:hAnsi="Calibri"/>
          <w:b w:val="0"/>
          <w:i w:val="0"/>
          <w:color w:val="000000"/>
          <w:sz w:val="21"/>
        </w:rPr>
        <w:t>Cross-platform React Native client with mutual TLS (mTLS) and encrypted local secure enclave storage.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IVRS Gateway: </w:t>
      </w:r>
      <w:r>
        <w:rPr>
          <w:rFonts w:ascii="Calibri" w:hAnsi="Calibri"/>
          <w:b w:val="0"/>
          <w:i w:val="0"/>
          <w:color w:val="000000"/>
          <w:sz w:val="21"/>
        </w:rPr>
        <w:t>Twilio Voice TwiML gateway with dual-tone multi-frequency (DTMF) menu parsing and live call audio streaming.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32"/>
        </w:rPr>
        <w:t>4. DPDP Act 2023 Compliance &amp; Zero-Trust Privacy Gateway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Because atrocity disclosures involve sensitive personal data, SVI enforces a zero-trust architecture before any data reaches AI inference models: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Dynamic Consent Management: </w:t>
      </w:r>
      <w:r>
        <w:rPr>
          <w:rFonts w:ascii="Calibri" w:hAnsi="Calibri"/>
          <w:b w:val="0"/>
          <w:i w:val="0"/>
          <w:color w:val="000000"/>
          <w:sz w:val="21"/>
        </w:rPr>
        <w:t>Prior to processing, users are presented with a granular consent state machine (explicit verbal consent for voice calls or interactive UI modal for digital channels).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Automated PII Scrubber: </w:t>
      </w:r>
      <w:r>
        <w:rPr>
          <w:rFonts w:ascii="Calibri" w:hAnsi="Calibri"/>
          <w:b w:val="0"/>
          <w:i w:val="0"/>
          <w:color w:val="000000"/>
          <w:sz w:val="21"/>
        </w:rPr>
        <w:t>Inbound text streams pass through a Microsoft Presidio / spaCy NER pipeline that scrubs Aadhaar numbers, 10-digit phone numbers, personal names, and specific GPS coordinates, replacing them with generic entity tokens (e.g., &lt;AADHAAR_REDACTED&gt;).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Ephemeral Session Management: </w:t>
      </w:r>
      <w:r>
        <w:rPr>
          <w:rFonts w:ascii="Calibri" w:hAnsi="Calibri"/>
          <w:b w:val="0"/>
          <w:i w:val="0"/>
          <w:color w:val="000000"/>
          <w:sz w:val="21"/>
        </w:rPr>
        <w:t>All session data is indexed exclusively by ephemeral UUIDv4 tokens stored in Redis with a 30-minute Time-To-Live (TTL). When zero-retention mode is toggled, call audio and transcripts are purged immediately following triage.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Cryptographic Envelope: </w:t>
      </w:r>
      <w:r>
        <w:rPr>
          <w:rFonts w:ascii="Calibri" w:hAnsi="Calibri"/>
          <w:b w:val="0"/>
          <w:i w:val="0"/>
          <w:color w:val="000000"/>
          <w:sz w:val="21"/>
        </w:rPr>
        <w:t>Payloads at rest are secured with AES-256-GCM envelope encryption using hardware security module (HSM) managed keys.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32"/>
        </w:rPr>
        <w:t>5. Signal Preprocessing &amp; Feature Extraction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Inbound data is bifurcated into synchronized audio and text streams: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Audio DSP Pipeline: </w:t>
      </w:r>
      <w:r>
        <w:rPr>
          <w:rFonts w:ascii="Calibri" w:hAnsi="Calibri"/>
          <w:b w:val="0"/>
          <w:i w:val="0"/>
          <w:color w:val="000000"/>
          <w:sz w:val="21"/>
        </w:rPr>
        <w:t>Incoming 16kHz linear PCM audio is filtered through RNNoise recurrent neural network spectral denoising and WebRTC Voice Activity Detection (VAD) to eliminate background noise and isolate speech segments.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Speech-to-Text (STT): </w:t>
      </w:r>
      <w:r>
        <w:rPr>
          <w:rFonts w:ascii="Calibri" w:hAnsi="Calibri"/>
          <w:b w:val="0"/>
          <w:i w:val="0"/>
          <w:color w:val="000000"/>
          <w:sz w:val="21"/>
        </w:rPr>
        <w:t>Cleaned speech is transcribed in real-time using OpenAI Whisper Large v3 / IndicWav2Vec models fine-tuned on Indian accented English, Devanagari Hindi, and regional code-mixed Hinglish.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Text Normalization: </w:t>
      </w:r>
      <w:r>
        <w:rPr>
          <w:rFonts w:ascii="Calibri" w:hAnsi="Calibri"/>
          <w:b w:val="0"/>
          <w:i w:val="0"/>
          <w:color w:val="000000"/>
          <w:sz w:val="21"/>
        </w:rPr>
        <w:t>Text undergoes Devanagari script normalization, lemmatization, and schema validation via Pydantic models.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32"/>
        </w:rPr>
        <w:t>6. Dual-Stream AI Inference Engine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SVI avoids reliance on text-only sentiment by evaluating both physiological voice indicators and clinical semantic intent simultaneously: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0000"/>
          <w:sz w:val="26"/>
        </w:rPr>
        <w:t>Stream A: Acoustic Prosody &amp; Biomarker Engine (openSMILE / Librosa)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Stream A analyzes vocal acoustics using the Extended Geneva Minimalistic Acoustic Parameter Set (eGeMAPS):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Fundamental Frequency (F0): </w:t>
      </w:r>
      <w:r>
        <w:rPr>
          <w:rFonts w:ascii="Calibri" w:hAnsi="Calibri"/>
          <w:b w:val="0"/>
          <w:i w:val="0"/>
          <w:color w:val="000000"/>
          <w:sz w:val="21"/>
        </w:rPr>
        <w:t>Evaluates pitch mean, local jitter, and vocal fold instability signaling acute panic.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Shimmer &amp; Harmonics-to-Noise Ratio (HNR): </w:t>
      </w:r>
      <w:r>
        <w:rPr>
          <w:rFonts w:ascii="Calibri" w:hAnsi="Calibri"/>
          <w:b w:val="0"/>
          <w:i w:val="0"/>
          <w:color w:val="000000"/>
          <w:sz w:val="21"/>
        </w:rPr>
        <w:t>Quantifies cycle-to-cycle amplitude perturbation and high-frequency turbulence.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MFCCs 1–13 &amp; RMS Energy: </w:t>
      </w:r>
      <w:r>
        <w:rPr>
          <w:rFonts w:ascii="Calibri" w:hAnsi="Calibri"/>
          <w:b w:val="0"/>
          <w:i w:val="0"/>
          <w:color w:val="000000"/>
          <w:sz w:val="21"/>
        </w:rPr>
        <w:t>Captures acoustic spectral tilt and breathlessness, producing a normalized acoustic stress vector S_acoustic ∈ [0.0, 1.0].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0000"/>
          <w:sz w:val="26"/>
        </w:rPr>
        <w:t>Stream B: Clinical NLP &amp; Trauma Semantic Engine (LangGraph / Groq)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Stream B deploys a LangGraph ReAct agent backed by Groq's high-speed inference engine (gpt-oss-120b) with specialized clinical directives: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Clinical Trauma Taxonomy: </w:t>
      </w:r>
      <w:r>
        <w:rPr>
          <w:rFonts w:ascii="Calibri" w:hAnsi="Calibri"/>
          <w:b w:val="0"/>
          <w:i w:val="0"/>
          <w:color w:val="000000"/>
          <w:sz w:val="21"/>
        </w:rPr>
        <w:t>Semantic embeddings are cross-referenced against DSM-5 and PCL-5 acute stress criteria (dissociation, acute helplessness, panic, hyperarousal).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Atrocity &amp; Urgency Lexicon: </w:t>
      </w:r>
      <w:r>
        <w:rPr>
          <w:rFonts w:ascii="Calibri" w:hAnsi="Calibri"/>
          <w:b w:val="0"/>
          <w:i w:val="0"/>
          <w:color w:val="000000"/>
          <w:sz w:val="21"/>
        </w:rPr>
        <w:t>Identifies statutory violation markers, caste-based abuse keywords, and acute danger terminology, outputting a semantic trauma vector S_semantic ∈ [0.0, 1.0].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32"/>
        </w:rPr>
        <w:t>7. Multimodal Late-Fusion Risk Engine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The AI Risk Assessment Engine performs calibrated late fusion across acoustic, semantic, and heuristic urgency vectors using the following formulation:</w:t>
      </w:r>
    </w:p>
    <w:p>
      <w:pPr>
        <w:spacing w:before="120" w:after="120"/>
        <w:jc w:val="center"/>
      </w:pPr>
      <w:r>
        <w:rPr>
          <w:rFonts w:ascii="Calibri" w:hAnsi="Calibri"/>
          <w:b/>
          <w:i w:val="0"/>
          <w:color w:val="000000"/>
          <w:sz w:val="24"/>
        </w:rPr>
        <w:t>Risk Score = σ(0.40 · S_acoustic + 0.45 · S_semantic + 0.15 · S_urgency) × 100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The resulting score categorizes cases into three distinct operational triage tiers: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LOW SEVERITY: </w:t>
      </w:r>
      <w:r>
        <w:rPr>
          <w:rFonts w:ascii="Calibri" w:hAnsi="Calibri"/>
          <w:b w:val="0"/>
          <w:i w:val="0"/>
          <w:color w:val="000000"/>
          <w:sz w:val="21"/>
        </w:rPr>
        <w:t>Score 0–39. Routine case handling, automated informational guidance, and standard complaint registration.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MODERATE SEVERITY: </w:t>
      </w:r>
      <w:r>
        <w:rPr>
          <w:rFonts w:ascii="Calibri" w:hAnsi="Calibri"/>
          <w:b w:val="0"/>
          <w:i w:val="0"/>
          <w:color w:val="000000"/>
          <w:sz w:val="21"/>
        </w:rPr>
        <w:t>Score 40–69. Prioritized queue placement, assignment to tele-counselling officers, and legal aid referral dispatch.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CRITICAL SEVERITY: </w:t>
      </w:r>
      <w:r>
        <w:rPr>
          <w:rFonts w:ascii="Calibri" w:hAnsi="Calibri"/>
          <w:b w:val="0"/>
          <w:i w:val="0"/>
          <w:color w:val="000000"/>
          <w:sz w:val="21"/>
        </w:rPr>
        <w:t>Score 70–100. Immediate crisis protocol: acoustic alert on counsellor consoles, automated supervisor notification, and emergency dispatch readiness.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32"/>
        </w:rPr>
        <w:t>8. Human-in-the-Loop (HITL) Triage Station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To eliminate algorithmic hallucination risks in high-stakes public safety decisions, SVI implements strict Human-in-the-Loop governance: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Live Counsellor Console: </w:t>
      </w:r>
      <w:r>
        <w:rPr>
          <w:rFonts w:ascii="Calibri" w:hAnsi="Calibri"/>
          <w:b w:val="0"/>
          <w:i w:val="0"/>
          <w:color w:val="000000"/>
          <w:sz w:val="21"/>
        </w:rPr>
        <w:t>Built on Next.js 16 with Server-Sent Events (SSE) / WebSockets for sub-second alert delivery to authorized helpline officers.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Real-Time Acoustic Alert: </w:t>
      </w:r>
      <w:r>
        <w:rPr>
          <w:rFonts w:ascii="Calibri" w:hAnsi="Calibri"/>
          <w:b w:val="0"/>
          <w:i w:val="0"/>
          <w:color w:val="000000"/>
          <w:sz w:val="21"/>
        </w:rPr>
        <w:t>Plays an acoustic warning beep (880Hz / 440Hz oscillator) directly via the browser Web Audio API upon critical case arrival, requiring no external audio assets.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Explainability Inspector: </w:t>
      </w:r>
      <w:r>
        <w:rPr>
          <w:rFonts w:ascii="Calibri" w:hAnsi="Calibri"/>
          <w:b w:val="0"/>
          <w:i w:val="0"/>
          <w:color w:val="000000"/>
          <w:sz w:val="21"/>
        </w:rPr>
        <w:t>Provides counsellors with SHAP feature contribution charts, highlighted trauma keywords, and prosody anomaly graphs explaining why the AI assigned the score.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MedGemma Clinical Advisor: </w:t>
      </w:r>
      <w:r>
        <w:rPr>
          <w:rFonts w:ascii="Calibri" w:hAnsi="Calibri"/>
          <w:b w:val="0"/>
          <w:i w:val="0"/>
          <w:color w:val="000000"/>
          <w:sz w:val="21"/>
        </w:rPr>
        <w:t>Integrated tool allowing counsellors to query the MedGemma clinical medical model for differential diagnosis notes and clinical coping protocols.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Officer Override &amp; Audit Trail: </w:t>
      </w:r>
      <w:r>
        <w:rPr>
          <w:rFonts w:ascii="Calibri" w:hAnsi="Calibri"/>
          <w:b w:val="0"/>
          <w:i w:val="0"/>
          <w:color w:val="000000"/>
          <w:sz w:val="21"/>
        </w:rPr>
        <w:t>Counsellors maintain absolute authority to adjust risk scores, validate findings, or override recommendations. All override actions are cryptographically signed and logged for ISO 27001 audit compliance.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32"/>
        </w:rPr>
        <w:t>9. Automated Multi-Agency Dispatch &amp; Intervention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Validated triage assessments trigger automated downstream intervention workflows: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Critical Dispatch: </w:t>
      </w:r>
      <w:r>
        <w:rPr>
          <w:rFonts w:ascii="Calibri" w:hAnsi="Calibri"/>
          <w:b w:val="0"/>
          <w:i w:val="0"/>
          <w:color w:val="000000"/>
          <w:sz w:val="21"/>
        </w:rPr>
        <w:t>Critical cases trigger an immediate SIP warm-transfer to an on-duty senior crisis psychologist, while initiating an automated Twilio telephony dispatch to local emergency services and posting webhooks to the National Emergency 112 / CCTNS network.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Moderate Support: </w:t>
      </w:r>
      <w:r>
        <w:rPr>
          <w:rFonts w:ascii="Calibri" w:hAnsi="Calibri"/>
          <w:b w:val="0"/>
          <w:i w:val="0"/>
          <w:color w:val="000000"/>
          <w:sz w:val="21"/>
        </w:rPr>
        <w:t>Moderate cases trigger automated geolocation queries via Docvita and Tavily Search APIs to identify certified nearby therapists, schedule follow-ups, and generate legal aid appointment links.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Informational Support: </w:t>
      </w:r>
      <w:r>
        <w:rPr>
          <w:rFonts w:ascii="Calibri" w:hAnsi="Calibri"/>
          <w:b w:val="0"/>
          <w:i w:val="0"/>
          <w:color w:val="000000"/>
          <w:sz w:val="21"/>
        </w:rPr>
        <w:t>Low cases receive self-help mental health grounding exercises (4-7-8 breathing, sensory grounding) and standard helpline complaint tracking numbers via encrypted SMS/WhatsApp links.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32"/>
        </w:rPr>
        <w:t>10. MLOps, Active Learning &amp; Continuous Model Governance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000000"/>
          <w:sz w:val="21"/>
        </w:rPr>
        <w:t>The system continuously evolves through privacy-preserving active learning loops: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Ground-Truth Ingestion: </w:t>
      </w:r>
      <w:r>
        <w:rPr>
          <w:rFonts w:ascii="Calibri" w:hAnsi="Calibri"/>
          <w:b w:val="0"/>
          <w:i w:val="0"/>
          <w:color w:val="000000"/>
          <w:sz w:val="21"/>
        </w:rPr>
        <w:t>Officer validation feedback and override labels are stored in an anonymized PostgreSQL database with pgvector extensions.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Drift &amp; Fairness Auditing: </w:t>
      </w:r>
      <w:r>
        <w:rPr>
          <w:rFonts w:ascii="Calibri" w:hAnsi="Calibri"/>
          <w:b w:val="0"/>
          <w:i w:val="0"/>
          <w:color w:val="000000"/>
          <w:sz w:val="21"/>
        </w:rPr>
        <w:t>Evidently AI monitors data drift, concept drift, and regional dialect parity to ensure consistent scoring accuracy across diverse demographic populations in India.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Differential Privacy Retraining: </w:t>
      </w:r>
      <w:r>
        <w:rPr>
          <w:rFonts w:ascii="Calibri" w:hAnsi="Calibri"/>
          <w:b w:val="0"/>
          <w:i w:val="0"/>
          <w:color w:val="000000"/>
          <w:sz w:val="21"/>
        </w:rPr>
        <w:t>Models are periodically updated via parameter-efficient LoRA / DPO fine-tuning using differential privacy techniques, ensuring no individual victim interaction can be reconstructed from model weights.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