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4716C"/>
          <w:sz w:val="17"/>
        </w:rPr>
        <w:t>Ministry of Social Justice &amp; Empowerment | Government of India</w:t>
        <w:br/>
        <w:t>National Helpline Against Atrocities (14566) | Tele-MANAS (14416) | 112</w:t>
      </w:r>
    </w:p>
    <w:p>
      <w:pPr>
        <w:spacing w:before="240" w:after="40"/>
        <w:jc w:val="center"/>
      </w:pPr>
      <w:r>
        <w:rPr>
          <w:rFonts w:ascii="Arial" w:hAnsi="Arial"/>
          <w:b/>
          <w:color w:val="1B365D"/>
          <w:sz w:val="44"/>
        </w:rPr>
        <w:t>SVI — SMART VICTIM INTELLIGENCE</w:t>
      </w:r>
    </w:p>
    <w:p>
      <w:pPr>
        <w:spacing w:before="0" w:after="280"/>
        <w:jc w:val="center"/>
      </w:pPr>
      <w:r>
        <w:rPr>
          <w:rFonts w:ascii="Arial" w:hAnsi="Arial"/>
          <w:b/>
          <w:color w:val="008069"/>
          <w:sz w:val="22"/>
        </w:rPr>
        <w:t>Comprehensive Backend &amp; Frontend Technical Analysis Report</w:t>
        <w:br/>
        <w:t>SIH 2026 | Problem Statement ID: 26093 | Team: Veom Vegas</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left w:val="single" w:sz="24" w:space="0" w:color="1B365D"/>
              <w:top w:val="none"/>
              <w:right w:val="none"/>
              <w:bottom w:val="none"/>
            </w:tcBorders>
          </w:tcPr>
          <w:p>
            <w:pPr>
              <w:spacing w:before="40" w:after="40"/>
            </w:pPr>
            <w:r>
              <w:rPr>
                <w:rFonts w:ascii="Arial" w:hAnsi="Arial"/>
                <w:b/>
                <w:color w:val="1B365D"/>
                <w:sz w:val="19"/>
              </w:rPr>
              <w:t xml:space="preserve">[EXECUTIVE SUMMARY] </w:t>
            </w:r>
            <w:r>
              <w:rPr>
                <w:rFonts w:ascii="Calibri" w:hAnsi="Calibri"/>
                <w:color w:val="263230"/>
                <w:sz w:val="19"/>
              </w:rPr>
              <w:t>This official analysis report provides a comprehensive architectural and code-level breakdown of both the Backend and Frontend subsystems of the Smart Victim Intelligence (SVI) platform. It details data flows, LangGraph agent workflows, medical model integrations, telephony alerts, Next.js App Router interfaces, Web APIs, DPDP 2023 compliance, and future production roadmaps.</w:t>
            </w:r>
          </w:p>
        </w:tc>
      </w:tr>
    </w:tbl>
    <w:p>
      <w:pPr>
        <w:spacing w:after="80"/>
      </w:pPr>
    </w:p>
    <w:p>
      <w:pPr>
        <w:keepNext/>
        <w:spacing w:before="360" w:after="120"/>
        <w:pBdr>
          <w:bottom w:val="single" w:sz="12" w:space="4" w:color="1B365D"/>
        </w:pBdr>
      </w:pPr>
      <w:r>
        <w:rPr>
          <w:rFonts w:ascii="Arial" w:hAnsi="Arial"/>
          <w:b/>
          <w:color w:val="1B365D"/>
          <w:sz w:val="28"/>
        </w:rPr>
        <w:t>1. System Architecture &amp; High-Level Overview</w:t>
      </w:r>
    </w:p>
    <w:p>
      <w:pPr>
        <w:spacing w:before="40" w:after="80" w:line="276" w:lineRule="auto"/>
      </w:pPr>
      <w:r>
        <w:rPr>
          <w:rFonts w:ascii="Calibri" w:hAnsi="Calibri"/>
          <w:color w:val="263230"/>
          <w:sz w:val="21"/>
        </w:rPr>
        <w:t>The Smart Victim Intelligence (SVI) platform is engineered to deliver trauma-informed, confidential psychological triage, atrocity classification, and real-time emergency routing for victims across India. The solution consists of two primary operational layers:</w:t>
      </w:r>
    </w:p>
    <w:p>
      <w:pPr>
        <w:pStyle w:val="ListBullet"/>
        <w:spacing w:before="20" w:after="40" w:line="276" w:lineRule="auto"/>
        <w:ind w:left="360"/>
      </w:pPr>
      <w:r>
        <w:rPr>
          <w:rFonts w:ascii="Calibri" w:hAnsi="Calibri"/>
          <w:b/>
          <w:color w:val="263230"/>
          <w:sz w:val="20"/>
        </w:rPr>
        <w:t xml:space="preserve">Frontend Subsystem: </w:t>
      </w:r>
      <w:r>
        <w:rPr>
          <w:rFonts w:ascii="Calibri" w:hAnsi="Calibri"/>
          <w:color w:val="263230"/>
          <w:sz w:val="20"/>
        </w:rPr>
        <w:t>Next.js 14 App Router, React 18, Tailwind CSS, Web Speech API (bilingual STT), Web Audio API (880Hz alert beeper), Window Print API (official PDF generation), and LocalStorage synchronization.</w:t>
      </w:r>
    </w:p>
    <w:p>
      <w:pPr>
        <w:pStyle w:val="ListBullet"/>
        <w:spacing w:before="20" w:after="40" w:line="276" w:lineRule="auto"/>
        <w:ind w:left="360"/>
      </w:pPr>
      <w:r>
        <w:rPr>
          <w:rFonts w:ascii="Calibri" w:hAnsi="Calibri"/>
          <w:b/>
          <w:color w:val="263230"/>
          <w:sz w:val="20"/>
        </w:rPr>
        <w:t xml:space="preserve">Backend Subsystem: </w:t>
      </w:r>
      <w:r>
        <w:rPr>
          <w:rFonts w:ascii="Calibri" w:hAnsi="Calibri"/>
          <w:color w:val="263230"/>
          <w:sz w:val="20"/>
        </w:rPr>
        <w:t>FastAPI with Uvicorn ASGI server, LangGraph ReAct agent orchestration, ChatGroq LLM (openai/gpt-oss-120b), local Ollama MedGemma 4B clinical model, and Twilio Voice REST client.</w:t>
      </w:r>
    </w:p>
    <w:p>
      <w:pPr>
        <w:keepNext/>
        <w:spacing w:before="280" w:after="80"/>
      </w:pPr>
      <w:r>
        <w:rPr>
          <w:rFonts w:ascii="Arial" w:hAnsi="Arial"/>
          <w:b/>
          <w:color w:val="008069"/>
          <w:sz w:val="24"/>
        </w:rPr>
        <w:t>Architecture &amp; Data Flow Diagram</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50" w:type="dxa"/>
              <w:right w:w="150" w:type="dxa"/>
            </w:tcMar>
            <w:tcBorders>
              <w:left w:val="single" w:sz="16" w:space="0" w:color="008069"/>
              <w:top w:val="single" w:sz="4" w:space="0" w:color="E2DFD3"/>
              <w:right w:val="single" w:sz="4" w:space="0" w:color="E2DFD3"/>
              <w:bottom w:val="single" w:sz="4" w:space="0" w:color="E2DFD3"/>
            </w:tcBorders>
          </w:tcPr>
          <w:p>
            <w:pPr>
              <w:spacing w:before="20" w:after="20"/>
            </w:pPr>
            <w:r>
              <w:rPr>
                <w:rFonts w:ascii="Consolas" w:hAnsi="Consolas"/>
                <w:color w:val="212529"/>
                <w:sz w:val="17"/>
              </w:rPr>
              <w:t xml:space="preserve">       [Citizen / Victim Device]</w:t>
              <w:br/>
              <w:t xml:space="preserve">                  │ (HTTP / Voice / Chat)</w:t>
              <w:br/>
              <w:t xml:space="preserve">                  ▼</w:t>
              <w:br/>
              <w:t>┌─────────────────────────────────────────────────────────────┐</w:t>
              <w:br/>
              <w:t>│                 NEXT.JS FRONTEND (PORT 3000)                │</w:t>
              <w:br/>
              <w:t>│  • Victim Portal (/, ChatWidget.js)                         │</w:t>
              <w:br/>
              <w:t>│  • Counsellor Triage Queue (/counsellor, CaseQueueTable.js) │</w:t>
              <w:br/>
              <w:t>│  • Admin Analytics Dashboard (/admin, AnalyticsCharts.js)   │</w:t>
              <w:br/>
              <w:t>│  • DPDP Consent Center (/consent, ConsentModal.js)          │</w:t>
              <w:br/>
              <w:t>│  • Case Details &amp; HITL Override (/counsellor/[caseId])      │</w:t>
              <w:br/>
              <w:t>│  • Browser Web Speech STT &amp; Web Audio Alert Synthesizer     │</w:t>
              <w:br/>
              <w:t>│  • API Handlers: /api/ask &amp; /api/nearby-support             │</w:t>
              <w:br/>
              <w:t>└──────────────────────────────┬──────────────────────────────┘</w:t>
              <w:br/>
              <w:t xml:space="preserve">                               │ POST /ask (JSON)</w:t>
              <w:br/>
              <w:t xml:space="preserve">                               ▼</w:t>
              <w:br/>
              <w:t>┌─────────────────────────────────────────────────────────────┐</w:t>
              <w:br/>
              <w:t>│                 FASTAPI BACKEND (PORT 5500)                 │</w:t>
              <w:br/>
              <w:t>│  • main.py: Pydantic Validation &amp; Fail-safe Error Handling  │</w:t>
              <w:br/>
              <w:t>│  • backend/ai_agent.py: LangGraph ReAct Agent (Groq 120B)   │</w:t>
              <w:br/>
              <w:t>│  • Strict India Crisis System Prompt (112, 14566, 14416)    │</w:t>
              <w:br/>
              <w:t>│  • Tool 1: Ollama MedGemma 4B (Dr. Emily Hartman Persona)   │</w:t>
              <w:br/>
              <w:t>│  • Tool 2: Twilio Voice REST API (Automated Phone Call)     │</w:t>
              <w:br/>
              <w:t>│  • Tool 3: Nearby Support &amp; Clinic Finder (Docvita)         │</w:t>
              <w:br/>
              <w:t>└─────────────────────────────────────────────────────────────┘</w:t>
            </w:r>
          </w:p>
        </w:tc>
      </w:tr>
    </w:tbl>
    <w:p>
      <w:pPr>
        <w:spacing w:after="80"/>
      </w:pPr>
    </w:p>
    <w:p>
      <w:pPr>
        <w:keepNext/>
        <w:spacing w:before="360" w:after="120"/>
        <w:pBdr>
          <w:bottom w:val="single" w:sz="12" w:space="4" w:color="1B365D"/>
        </w:pBdr>
      </w:pPr>
      <w:r>
        <w:rPr>
          <w:rFonts w:ascii="Arial" w:hAnsi="Arial"/>
          <w:b/>
          <w:color w:val="1B365D"/>
          <w:sz w:val="28"/>
        </w:rPr>
        <w:t>2. Backend Subsystem Deep-Dive</w:t>
      </w:r>
    </w:p>
    <w:p>
      <w:pPr>
        <w:keepNext/>
        <w:spacing w:before="280" w:after="80"/>
      </w:pPr>
      <w:r>
        <w:rPr>
          <w:rFonts w:ascii="Arial" w:hAnsi="Arial"/>
          <w:b/>
          <w:color w:val="008069"/>
          <w:sz w:val="24"/>
        </w:rPr>
        <w:t>2.1 Application Entrypoint: main.py</w:t>
      </w:r>
    </w:p>
    <w:p>
      <w:pPr>
        <w:spacing w:before="40" w:after="80" w:line="276" w:lineRule="auto"/>
      </w:pPr>
      <w:r>
        <w:rPr>
          <w:rFonts w:ascii="Calibri" w:hAnsi="Calibri"/>
          <w:b/>
          <w:color w:val="263230"/>
          <w:sz w:val="21"/>
        </w:rPr>
        <w:t xml:space="preserve">File Location: </w:t>
      </w:r>
      <w:r>
        <w:rPr>
          <w:rFonts w:ascii="Calibri" w:hAnsi="Calibri"/>
          <w:color w:val="263230"/>
          <w:sz w:val="21"/>
        </w:rPr>
        <w:t>safespace-ai-therapist/main.py</w:t>
      </w:r>
    </w:p>
    <w:p>
      <w:pPr>
        <w:spacing w:before="40" w:after="80" w:line="276" w:lineRule="auto"/>
      </w:pPr>
      <w:r>
        <w:rPr>
          <w:rFonts w:ascii="Calibri" w:hAnsi="Calibri"/>
          <w:color w:val="263230"/>
          <w:sz w:val="21"/>
        </w:rPr>
        <w:t>The FastAPI entrypoint initializes the ASGI web server, validates incoming HTTP JSON payloads using Pydantic, passes the conversational context to the LangGraph ReAct graph, and parses the agent stream for return to the frontend.</w:t>
      </w:r>
    </w:p>
    <w:p>
      <w:pPr>
        <w:pStyle w:val="ListBullet"/>
        <w:spacing w:before="20" w:after="40" w:line="276" w:lineRule="auto"/>
        <w:ind w:left="360"/>
      </w:pPr>
      <w:r>
        <w:rPr>
          <w:rFonts w:ascii="Calibri" w:hAnsi="Calibri"/>
          <w:b/>
          <w:color w:val="263230"/>
          <w:sz w:val="20"/>
        </w:rPr>
        <w:t xml:space="preserve">Request Validation: </w:t>
      </w:r>
      <w:r>
        <w:rPr>
          <w:rFonts w:ascii="Calibri" w:hAnsi="Calibri"/>
          <w:color w:val="263230"/>
          <w:sz w:val="20"/>
        </w:rPr>
        <w:t>Defines a Pydantic Query model with a single required `message: str` field.</w:t>
      </w:r>
    </w:p>
    <w:p>
      <w:pPr>
        <w:pStyle w:val="ListBullet"/>
        <w:spacing w:before="20" w:after="40" w:line="276" w:lineRule="auto"/>
        <w:ind w:left="360"/>
      </w:pPr>
      <w:r>
        <w:rPr>
          <w:rFonts w:ascii="Calibri" w:hAnsi="Calibri"/>
          <w:b/>
          <w:color w:val="263230"/>
          <w:sz w:val="20"/>
        </w:rPr>
        <w:t xml:space="preserve">LangGraph Execution: </w:t>
      </w:r>
      <w:r>
        <w:rPr>
          <w:rFonts w:ascii="Calibri" w:hAnsi="Calibri"/>
          <w:color w:val="263230"/>
          <w:sz w:val="20"/>
        </w:rPr>
        <w:t>Injects SYSTEM_PROMPT along with the user message into the graph stream (`stream_mode='updates'`).</w:t>
      </w:r>
    </w:p>
    <w:p>
      <w:pPr>
        <w:pStyle w:val="ListBullet"/>
        <w:spacing w:before="20" w:after="40" w:line="276" w:lineRule="auto"/>
        <w:ind w:left="360"/>
      </w:pPr>
      <w:r>
        <w:rPr>
          <w:rFonts w:ascii="Calibri" w:hAnsi="Calibri"/>
          <w:b/>
          <w:color w:val="263230"/>
          <w:sz w:val="20"/>
        </w:rPr>
        <w:t xml:space="preserve">Stream Extraction: </w:t>
      </w:r>
      <w:r>
        <w:rPr>
          <w:rFonts w:ascii="Calibri" w:hAnsi="Calibri"/>
          <w:color w:val="263230"/>
          <w:sz w:val="20"/>
        </w:rPr>
        <w:t>Invokes `parse_response(stream)` to extract the invoked tool name and final assistant text.</w:t>
      </w:r>
    </w:p>
    <w:p>
      <w:pPr>
        <w:pStyle w:val="ListBullet"/>
        <w:spacing w:before="20" w:after="40" w:line="276" w:lineRule="auto"/>
        <w:ind w:left="360"/>
      </w:pPr>
      <w:r>
        <w:rPr>
          <w:rFonts w:ascii="Calibri" w:hAnsi="Calibri"/>
          <w:b/>
          <w:color w:val="263230"/>
          <w:sz w:val="20"/>
        </w:rPr>
        <w:t xml:space="preserve">Fail-Safe Resilience: </w:t>
      </w:r>
      <w:r>
        <w:rPr>
          <w:rFonts w:ascii="Calibri" w:hAnsi="Calibri"/>
          <w:color w:val="263230"/>
          <w:sz w:val="20"/>
        </w:rPr>
        <w:t>Wraps execution in a comprehensive try/except block. If Groq, Ollama, or Twilio experiences an outage, the endpoint NEVER throws an HTTP 500 error; instead, it returns an empathetic fallback directing the victim to call 112 or Tele-MANAS (14416).</w:t>
      </w:r>
    </w:p>
    <w:p>
      <w:pPr>
        <w:keepNext/>
        <w:spacing w:before="280" w:after="80"/>
      </w:pPr>
      <w:r>
        <w:rPr>
          <w:rFonts w:ascii="Arial" w:hAnsi="Arial"/>
          <w:b/>
          <w:color w:val="008069"/>
          <w:sz w:val="24"/>
        </w:rPr>
        <w:t>2.2 Agentic Reasoning: backend/ai_agent.py</w:t>
      </w:r>
    </w:p>
    <w:p>
      <w:pPr>
        <w:spacing w:before="40" w:after="80" w:line="276" w:lineRule="auto"/>
      </w:pPr>
      <w:r>
        <w:rPr>
          <w:rFonts w:ascii="Calibri" w:hAnsi="Calibri"/>
          <w:b/>
          <w:color w:val="263230"/>
          <w:sz w:val="21"/>
        </w:rPr>
        <w:t xml:space="preserve">File Location: </w:t>
      </w:r>
      <w:r>
        <w:rPr>
          <w:rFonts w:ascii="Calibri" w:hAnsi="Calibri"/>
          <w:color w:val="263230"/>
          <w:sz w:val="21"/>
        </w:rPr>
        <w:t>safespace-ai-therapist/backend/ai_agent.py</w:t>
      </w:r>
    </w:p>
    <w:p>
      <w:pPr>
        <w:spacing w:before="40" w:after="80" w:line="276" w:lineRule="auto"/>
      </w:pPr>
      <w:r>
        <w:rPr>
          <w:rFonts w:ascii="Calibri" w:hAnsi="Calibri"/>
          <w:color w:val="263230"/>
          <w:sz w:val="21"/>
        </w:rPr>
        <w:t>The conversational intelligence engine is built using LangGraph's prebuilt ReAct agent pattern, driven by Groq's high-throughput `openai/gpt-oss-120b` model.</w:t>
      </w:r>
    </w:p>
    <w:p>
      <w:pPr>
        <w:pStyle w:val="ListBullet"/>
        <w:spacing w:before="20" w:after="40" w:line="276" w:lineRule="auto"/>
        <w:ind w:left="360"/>
      </w:pPr>
      <w:r>
        <w:rPr>
          <w:rFonts w:ascii="Calibri" w:hAnsi="Calibri"/>
          <w:b/>
          <w:color w:val="263230"/>
          <w:sz w:val="20"/>
        </w:rPr>
        <w:t xml:space="preserve">Tool 1 - ask_mental_health_specialist: </w:t>
      </w:r>
      <w:r>
        <w:rPr>
          <w:rFonts w:ascii="Calibri" w:hAnsi="Calibri"/>
          <w:color w:val="263230"/>
          <w:sz w:val="20"/>
        </w:rPr>
        <w:t>General psychological queries, emotional concerns, and conversational triage are routed to local Ollama MedGemma.</w:t>
      </w:r>
    </w:p>
    <w:p>
      <w:pPr>
        <w:pStyle w:val="ListBullet"/>
        <w:spacing w:before="20" w:after="40" w:line="276" w:lineRule="auto"/>
        <w:ind w:left="360"/>
      </w:pPr>
      <w:r>
        <w:rPr>
          <w:rFonts w:ascii="Calibri" w:hAnsi="Calibri"/>
          <w:b/>
          <w:color w:val="263230"/>
          <w:sz w:val="20"/>
        </w:rPr>
        <w:t xml:space="preserve">Tool 2 - emergency_call_tool: </w:t>
      </w:r>
      <w:r>
        <w:rPr>
          <w:rFonts w:ascii="Calibri" w:hAnsi="Calibri"/>
          <w:color w:val="263230"/>
          <w:sz w:val="20"/>
        </w:rPr>
        <w:t>Triggered immediately upon suicidal ideation, intent to self-harm, or physical threat. Places a real phone call via Twilio.</w:t>
      </w:r>
    </w:p>
    <w:p>
      <w:pPr>
        <w:pStyle w:val="ListBullet"/>
        <w:spacing w:before="20" w:after="40" w:line="276" w:lineRule="auto"/>
        <w:ind w:left="360"/>
      </w:pPr>
      <w:r>
        <w:rPr>
          <w:rFonts w:ascii="Calibri" w:hAnsi="Calibri"/>
          <w:b/>
          <w:color w:val="263230"/>
          <w:sz w:val="20"/>
        </w:rPr>
        <w:t xml:space="preserve">Tool 3 - find_nearby_therapists_by_location: </w:t>
      </w:r>
      <w:r>
        <w:rPr>
          <w:rFonts w:ascii="Calibri" w:hAnsi="Calibri"/>
          <w:color w:val="263230"/>
          <w:sz w:val="20"/>
        </w:rPr>
        <w:t>Returns licensed mental health professionals and Docvita appointment links for the victim's location.</w:t>
      </w:r>
    </w:p>
    <w:p>
      <w:pPr>
        <w:pStyle w:val="ListBullet"/>
        <w:spacing w:before="20" w:after="40" w:line="276" w:lineRule="auto"/>
        <w:ind w:left="360"/>
      </w:pPr>
      <w:r>
        <w:rPr>
          <w:rFonts w:ascii="Calibri" w:hAnsi="Calibri"/>
          <w:b/>
          <w:color w:val="263230"/>
          <w:sz w:val="20"/>
        </w:rPr>
        <w:t xml:space="preserve">Crisis Prompt Guardrails: </w:t>
      </w:r>
      <w:r>
        <w:rPr>
          <w:rFonts w:ascii="Calibri" w:hAnsi="Calibri"/>
          <w:color w:val="263230"/>
          <w:sz w:val="20"/>
        </w:rPr>
        <w:t>Strictly locks the agent to India. Mandates advising 112 for police emergencies, Tele-MANAS (14416 / 1-800-891-4416) for 24/7 mental distress, and explicitly forbids foreign numbers (such as 911).</w:t>
      </w:r>
    </w:p>
    <w:p>
      <w:pPr>
        <w:keepNext/>
        <w:spacing w:before="280" w:after="80"/>
      </w:pPr>
      <w:r>
        <w:rPr>
          <w:rFonts w:ascii="Arial" w:hAnsi="Arial"/>
          <w:b/>
          <w:color w:val="008069"/>
          <w:sz w:val="24"/>
        </w:rPr>
        <w:t>2.3 Specialized Tools &amp; Telephony: backend/tools.py</w:t>
      </w:r>
    </w:p>
    <w:p>
      <w:pPr>
        <w:spacing w:before="40" w:after="80" w:line="276" w:lineRule="auto"/>
      </w:pPr>
      <w:r>
        <w:rPr>
          <w:rFonts w:ascii="Calibri" w:hAnsi="Calibri"/>
          <w:b/>
          <w:color w:val="263230"/>
          <w:sz w:val="21"/>
        </w:rPr>
        <w:t xml:space="preserve">File Location: </w:t>
      </w:r>
      <w:r>
        <w:rPr>
          <w:rFonts w:ascii="Calibri" w:hAnsi="Calibri"/>
          <w:color w:val="263230"/>
          <w:sz w:val="21"/>
        </w:rPr>
        <w:t>safespace-ai-therapist/backend/tools.py</w:t>
      </w:r>
    </w:p>
    <w:p>
      <w:pPr>
        <w:pStyle w:val="ListBullet"/>
        <w:spacing w:before="20" w:after="40" w:line="276" w:lineRule="auto"/>
        <w:ind w:left="360"/>
      </w:pPr>
      <w:r>
        <w:rPr>
          <w:rFonts w:ascii="Calibri" w:hAnsi="Calibri"/>
          <w:b/>
          <w:color w:val="263230"/>
          <w:sz w:val="20"/>
        </w:rPr>
        <w:t xml:space="preserve">Ollama MedGemma 4B Integration: </w:t>
      </w:r>
      <w:r>
        <w:rPr>
          <w:rFonts w:ascii="Calibri" w:hAnsi="Calibri"/>
          <w:color w:val="263230"/>
          <w:sz w:val="20"/>
        </w:rPr>
        <w:t>Queries a locally deployed Ollama instance running `alibayram/medgemma:4b`. Imparts the clinical psychologist persona of Dr. Emily Hartman, focusing on emotional attunement, gentle normalization, and practical grounding (num_predict=350, temperature=0.7).</w:t>
      </w:r>
    </w:p>
    <w:p>
      <w:pPr>
        <w:pStyle w:val="ListBullet"/>
        <w:spacing w:before="20" w:after="40" w:line="276" w:lineRule="auto"/>
        <w:ind w:left="360"/>
      </w:pPr>
      <w:r>
        <w:rPr>
          <w:rFonts w:ascii="Calibri" w:hAnsi="Calibri"/>
          <w:b/>
          <w:color w:val="263230"/>
          <w:sz w:val="20"/>
        </w:rPr>
        <w:t xml:space="preserve">Twilio Voice REST Telephony: </w:t>
      </w:r>
      <w:r>
        <w:rPr>
          <w:rFonts w:ascii="Calibri" w:hAnsi="Calibri"/>
          <w:color w:val="263230"/>
          <w:sz w:val="20"/>
        </w:rPr>
        <w:t>Uses Twilio REST Client (`client.calls.create`) to initiate an emergency phone call to the designated emergency contact number when crisis escalation is triggered.</w:t>
      </w:r>
    </w:p>
    <w:p>
      <w:pPr>
        <w:keepNext/>
        <w:spacing w:before="280" w:after="80"/>
      </w:pPr>
      <w:r>
        <w:rPr>
          <w:rFonts w:ascii="Arial" w:hAnsi="Arial"/>
          <w:b/>
          <w:color w:val="008069"/>
          <w:sz w:val="24"/>
        </w:rPr>
        <w:t>2.4 Configuration &amp; Legacy Streamlit: backend/config.py &amp; frontend.py</w:t>
      </w:r>
    </w:p>
    <w:p>
      <w:pPr>
        <w:spacing w:before="40" w:after="80" w:line="276" w:lineRule="auto"/>
      </w:pPr>
      <w:r>
        <w:rPr>
          <w:rFonts w:ascii="Calibri" w:hAnsi="Calibri"/>
          <w:color w:val="263230"/>
          <w:sz w:val="21"/>
        </w:rPr>
        <w:t>Credentials including `GROQ_API_KEY`, `TWILIO_ACCOUNT_SID`, `TWILIO_AUTH_TOKEN`, and `EMERGENCY_CONTACT` are loaded centrally in `backend/config.py`. The legacy `frontend.py` is a 449-line standalone Streamlit application created during early prototyping, still functional for isolated Python testing.</w:t>
      </w:r>
    </w:p>
    <w:p>
      <w:pPr>
        <w:keepNext/>
        <w:spacing w:before="360" w:after="120"/>
        <w:pBdr>
          <w:bottom w:val="single" w:sz="12" w:space="4" w:color="1B365D"/>
        </w:pBdr>
      </w:pPr>
      <w:r>
        <w:rPr>
          <w:rFonts w:ascii="Arial" w:hAnsi="Arial"/>
          <w:b/>
          <w:color w:val="1B365D"/>
          <w:sz w:val="28"/>
        </w:rPr>
        <w:t>3. Frontend Subsystem Deep-Dive</w:t>
      </w:r>
    </w:p>
    <w:p>
      <w:pPr>
        <w:keepNext/>
        <w:spacing w:before="280" w:after="80"/>
      </w:pPr>
      <w:r>
        <w:rPr>
          <w:rFonts w:ascii="Arial" w:hAnsi="Arial"/>
          <w:b/>
          <w:color w:val="008069"/>
          <w:sz w:val="24"/>
        </w:rPr>
        <w:t>3.1 Architecture &amp; Design Tokens</w:t>
      </w:r>
    </w:p>
    <w:p>
      <w:pPr>
        <w:spacing w:before="40" w:after="80" w:line="276" w:lineRule="auto"/>
      </w:pPr>
      <w:r>
        <w:rPr>
          <w:rFonts w:ascii="Calibri" w:hAnsi="Calibri"/>
          <w:color w:val="263230"/>
          <w:sz w:val="21"/>
        </w:rPr>
        <w:t>The user interface is constructed using Next.js 14 (App Router) and Tailwind CSS. The design system implements an institutional yet compassionate aesthetic based on curated government tokens:</w:t>
      </w:r>
    </w:p>
    <w:p>
      <w:pPr>
        <w:pStyle w:val="ListBullet"/>
        <w:spacing w:before="20" w:after="40" w:line="276" w:lineRule="auto"/>
        <w:ind w:left="360"/>
      </w:pPr>
      <w:r>
        <w:rPr>
          <w:rFonts w:ascii="Calibri" w:hAnsi="Calibri"/>
          <w:b/>
          <w:color w:val="263230"/>
          <w:sz w:val="20"/>
        </w:rPr>
        <w:t xml:space="preserve">gov-navy: </w:t>
      </w:r>
      <w:r>
        <w:rPr>
          <w:rFonts w:ascii="Calibri" w:hAnsi="Calibri"/>
          <w:color w:val="263230"/>
          <w:sz w:val="20"/>
        </w:rPr>
        <w:t>Primary institutional authority header color (#1B365D).</w:t>
      </w:r>
    </w:p>
    <w:p>
      <w:pPr>
        <w:pStyle w:val="ListBullet"/>
        <w:spacing w:before="20" w:after="40" w:line="276" w:lineRule="auto"/>
        <w:ind w:left="360"/>
      </w:pPr>
      <w:r>
        <w:rPr>
          <w:rFonts w:ascii="Calibri" w:hAnsi="Calibri"/>
          <w:b/>
          <w:color w:val="263230"/>
          <w:sz w:val="20"/>
        </w:rPr>
        <w:t xml:space="preserve">gov-teal: </w:t>
      </w:r>
      <w:r>
        <w:rPr>
          <w:rFonts w:ascii="Calibri" w:hAnsi="Calibri"/>
          <w:color w:val="263230"/>
          <w:sz w:val="20"/>
        </w:rPr>
        <w:t>WhatsApp &amp; Ministry healthcare accent color (#008069).</w:t>
      </w:r>
    </w:p>
    <w:p>
      <w:pPr>
        <w:pStyle w:val="ListBullet"/>
        <w:spacing w:before="20" w:after="40" w:line="276" w:lineRule="auto"/>
        <w:ind w:left="360"/>
      </w:pPr>
      <w:r>
        <w:rPr>
          <w:rFonts w:ascii="Calibri" w:hAnsi="Calibri"/>
          <w:b/>
          <w:color w:val="263230"/>
          <w:sz w:val="20"/>
        </w:rPr>
        <w:t xml:space="preserve">gov-cream: </w:t>
      </w:r>
      <w:r>
        <w:rPr>
          <w:rFonts w:ascii="Calibri" w:hAnsi="Calibri"/>
          <w:color w:val="263230"/>
          <w:sz w:val="20"/>
        </w:rPr>
        <w:t>Subtle, calming page background color (#FDFCF8).</w:t>
      </w:r>
    </w:p>
    <w:p>
      <w:pPr>
        <w:pStyle w:val="ListBullet"/>
        <w:spacing w:before="20" w:after="40" w:line="276" w:lineRule="auto"/>
        <w:ind w:left="360"/>
      </w:pPr>
      <w:r>
        <w:rPr>
          <w:rFonts w:ascii="Calibri" w:hAnsi="Calibri"/>
          <w:b/>
          <w:color w:val="263230"/>
          <w:sz w:val="20"/>
        </w:rPr>
        <w:t xml:space="preserve">gov-border: </w:t>
      </w:r>
      <w:r>
        <w:rPr>
          <w:rFonts w:ascii="Calibri" w:hAnsi="Calibri"/>
          <w:color w:val="263230"/>
          <w:sz w:val="20"/>
        </w:rPr>
        <w:t>Soft card and element border stroke (#E2DFD3).</w:t>
      </w:r>
    </w:p>
    <w:p>
      <w:pPr>
        <w:keepNext/>
        <w:spacing w:before="280" w:after="80"/>
      </w:pPr>
      <w:r>
        <w:rPr>
          <w:rFonts w:ascii="Arial" w:hAnsi="Arial"/>
          <w:b/>
          <w:color w:val="008069"/>
          <w:sz w:val="24"/>
        </w:rPr>
        <w:t>3.2 Comprehensive Route Breakdown</w:t>
      </w:r>
    </w:p>
    <w:tbl>
      <w:tblPr>
        <w:tblW w:type="auto" w:w="0"/>
        <w:jc w:val="center"/>
        <w:tblLook w:firstColumn="1" w:firstRow="1" w:lastColumn="0" w:lastRow="0" w:noHBand="0" w:noVBand="1" w:val="04A0"/>
      </w:tblPr>
      <w:tblGrid>
        <w:gridCol w:w="3360"/>
        <w:gridCol w:w="3360"/>
        <w:gridCol w:w="3360"/>
      </w:tblGrid>
      <w:tr>
        <w:tc>
          <w:tcPr>
            <w:tcW w:type="dxa" w:w="3360"/>
            <w:shd w:fill="1B365D"/>
            <w:tcMar>
              <w:top w:w="80" w:type="dxa"/>
              <w:bottom w:w="80" w:type="dxa"/>
              <w:left w:w="100" w:type="dxa"/>
              <w:right w:w="100" w:type="dxa"/>
            </w:tcMar>
          </w:tcPr>
          <w:p>
            <w:pPr>
              <w:spacing w:before="60" w:after="60"/>
            </w:pPr>
            <w:r>
              <w:rPr>
                <w:rFonts w:ascii="Arial" w:hAnsi="Arial"/>
                <w:b/>
                <w:color w:val="FFFFFF"/>
                <w:sz w:val="19"/>
              </w:rPr>
              <w:t>Route Path</w:t>
            </w:r>
          </w:p>
        </w:tc>
        <w:tc>
          <w:tcPr>
            <w:tcW w:type="dxa" w:w="3360"/>
            <w:shd w:fill="1B365D"/>
            <w:tcMar>
              <w:top w:w="80" w:type="dxa"/>
              <w:bottom w:w="80" w:type="dxa"/>
              <w:left w:w="100" w:type="dxa"/>
              <w:right w:w="100" w:type="dxa"/>
            </w:tcMar>
          </w:tcPr>
          <w:p>
            <w:pPr>
              <w:spacing w:before="60" w:after="60"/>
            </w:pPr>
            <w:r>
              <w:rPr>
                <w:rFonts w:ascii="Arial" w:hAnsi="Arial"/>
                <w:b/>
                <w:color w:val="FFFFFF"/>
                <w:sz w:val="19"/>
              </w:rPr>
              <w:t>Target File</w:t>
            </w:r>
          </w:p>
        </w:tc>
        <w:tc>
          <w:tcPr>
            <w:tcW w:type="dxa" w:w="3360"/>
            <w:shd w:fill="1B365D"/>
            <w:tcMar>
              <w:top w:w="80" w:type="dxa"/>
              <w:bottom w:w="80" w:type="dxa"/>
              <w:left w:w="100" w:type="dxa"/>
              <w:right w:w="100" w:type="dxa"/>
            </w:tcMar>
          </w:tcPr>
          <w:p>
            <w:pPr>
              <w:spacing w:before="60" w:after="60"/>
            </w:pPr>
            <w:r>
              <w:rPr>
                <w:rFonts w:ascii="Arial" w:hAnsi="Arial"/>
                <w:b/>
                <w:color w:val="FFFFFF"/>
                <w:sz w:val="19"/>
              </w:rPr>
              <w:t>Core Functionality</w:t>
            </w:r>
          </w:p>
        </w:tc>
      </w:tr>
      <w:tr>
        <w:tc>
          <w:tcPr>
            <w:tcW w:type="dxa" w:w="3360"/>
            <w:shd w:fill="F8F9FA"/>
            <w:tcMar>
              <w:top w:w="80" w:type="dxa"/>
              <w:bottom w:w="80" w:type="dxa"/>
              <w:left w:w="100" w:type="dxa"/>
              <w:right w:w="100" w:type="dxa"/>
            </w:tcMar>
          </w:tcPr>
          <w:p>
            <w:pPr>
              <w:spacing w:before="60" w:after="60"/>
            </w:pPr>
            <w:r>
              <w:rPr>
                <w:rFonts w:ascii="Calibri" w:hAnsi="Calibri"/>
                <w:color w:val="263230"/>
                <w:sz w:val="18"/>
              </w:rPr>
              <w:t>/</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app/page.js</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Public Citizen Intake Portal; embeds ChatWidget; triggers DPDP Consent Modal.</w:t>
            </w:r>
          </w:p>
        </w:tc>
      </w:tr>
      <w:tr>
        <w:tc>
          <w:tcPr>
            <w:tcW w:type="dxa" w:w="3360"/>
            <w:shd w:fill="FFFFFF"/>
            <w:tcMar>
              <w:top w:w="80" w:type="dxa"/>
              <w:bottom w:w="80" w:type="dxa"/>
              <w:left w:w="100" w:type="dxa"/>
              <w:right w:w="100" w:type="dxa"/>
            </w:tcMar>
          </w:tcPr>
          <w:p>
            <w:pPr>
              <w:spacing w:before="60" w:after="60"/>
            </w:pPr>
            <w:r>
              <w:rPr>
                <w:rFonts w:ascii="Calibri" w:hAnsi="Calibri"/>
                <w:color w:val="263230"/>
                <w:sz w:val="18"/>
              </w:rPr>
              <w:t>/counsellor</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app/counsellor/page.js</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Counsellor Triage Queue; real-time critical banner; 880Hz audio alert.</w:t>
            </w:r>
          </w:p>
        </w:tc>
      </w:tr>
      <w:tr>
        <w:tc>
          <w:tcPr>
            <w:tcW w:type="dxa" w:w="3360"/>
            <w:shd w:fill="F8F9FA"/>
            <w:tcMar>
              <w:top w:w="80" w:type="dxa"/>
              <w:bottom w:w="80" w:type="dxa"/>
              <w:left w:w="100" w:type="dxa"/>
              <w:right w:w="100" w:type="dxa"/>
            </w:tcMar>
          </w:tcPr>
          <w:p>
            <w:pPr>
              <w:spacing w:before="60" w:after="60"/>
            </w:pPr>
            <w:r>
              <w:rPr>
                <w:rFonts w:ascii="Calibri" w:hAnsi="Calibri"/>
                <w:color w:val="263230"/>
                <w:sz w:val="18"/>
              </w:rPr>
              <w:t>/counsellor/[caseId]</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app/counsellor/[caseId]/page.js</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Deep Case Inspection; PoA Act violation tags; transcript redaction; HITL form.</w:t>
            </w:r>
          </w:p>
        </w:tc>
      </w:tr>
      <w:tr>
        <w:tc>
          <w:tcPr>
            <w:tcW w:type="dxa" w:w="3360"/>
            <w:shd w:fill="FFFFFF"/>
            <w:tcMar>
              <w:top w:w="80" w:type="dxa"/>
              <w:bottom w:w="80" w:type="dxa"/>
              <w:left w:w="100" w:type="dxa"/>
              <w:right w:w="100" w:type="dxa"/>
            </w:tcMar>
          </w:tcPr>
          <w:p>
            <w:pPr>
              <w:spacing w:before="60" w:after="60"/>
            </w:pPr>
            <w:r>
              <w:rPr>
                <w:rFonts w:ascii="Calibri" w:hAnsi="Calibri"/>
                <w:color w:val="263230"/>
                <w:sz w:val="18"/>
              </w:rPr>
              <w:t>/admin</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app/admin/page.js</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Macro Analytics Dashboard; de-identified metrics on case types and SLAs.</w:t>
            </w:r>
          </w:p>
        </w:tc>
      </w:tr>
      <w:tr>
        <w:tc>
          <w:tcPr>
            <w:tcW w:type="dxa" w:w="3360"/>
            <w:shd w:fill="F8F9FA"/>
            <w:tcMar>
              <w:top w:w="80" w:type="dxa"/>
              <w:bottom w:w="80" w:type="dxa"/>
              <w:left w:w="100" w:type="dxa"/>
              <w:right w:w="100" w:type="dxa"/>
            </w:tcMar>
          </w:tcPr>
          <w:p>
            <w:pPr>
              <w:spacing w:before="60" w:after="60"/>
            </w:pPr>
            <w:r>
              <w:rPr>
                <w:rFonts w:ascii="Calibri" w:hAnsi="Calibri"/>
                <w:color w:val="263230"/>
                <w:sz w:val="18"/>
              </w:rPr>
              <w:t>/login</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app/login/page.js</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3-in-1 Role Switcher: Citizen (auto-ticket), Officer Sharma, Admin Verma.</w:t>
            </w:r>
          </w:p>
        </w:tc>
      </w:tr>
      <w:tr>
        <w:tc>
          <w:tcPr>
            <w:tcW w:type="dxa" w:w="3360"/>
            <w:shd w:fill="FFFFFF"/>
            <w:tcMar>
              <w:top w:w="80" w:type="dxa"/>
              <w:bottom w:w="80" w:type="dxa"/>
              <w:left w:w="100" w:type="dxa"/>
              <w:right w:w="100" w:type="dxa"/>
            </w:tcMar>
          </w:tcPr>
          <w:p>
            <w:pPr>
              <w:spacing w:before="60" w:after="60"/>
            </w:pPr>
            <w:r>
              <w:rPr>
                <w:rFonts w:ascii="Calibri" w:hAnsi="Calibri"/>
                <w:color w:val="263230"/>
                <w:sz w:val="18"/>
              </w:rPr>
              <w:t>/consent</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app/consent/page.js</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DPDP 2023 Consent Center; data retention and voice processing controls.</w:t>
            </w:r>
          </w:p>
        </w:tc>
      </w:tr>
      <w:tr>
        <w:tc>
          <w:tcPr>
            <w:tcW w:type="dxa" w:w="3360"/>
            <w:shd w:fill="F8F9FA"/>
            <w:tcMar>
              <w:top w:w="80" w:type="dxa"/>
              <w:bottom w:w="80" w:type="dxa"/>
              <w:left w:w="100" w:type="dxa"/>
              <w:right w:w="100" w:type="dxa"/>
            </w:tcMar>
          </w:tcPr>
          <w:p>
            <w:pPr>
              <w:spacing w:before="60" w:after="60"/>
            </w:pPr>
            <w:r>
              <w:rPr>
                <w:rFonts w:ascii="Calibri" w:hAnsi="Calibri"/>
                <w:color w:val="263230"/>
                <w:sz w:val="18"/>
              </w:rPr>
              <w:t>/profile</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app/profile/page.js</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Citizen Ticket Tracker; view case status, assigned officer, and safe exit.</w:t>
            </w:r>
          </w:p>
        </w:tc>
      </w:tr>
    </w:tbl>
    <w:p>
      <w:pPr>
        <w:spacing w:after="120"/>
      </w:pPr>
    </w:p>
    <w:p>
      <w:pPr>
        <w:keepNext/>
        <w:spacing w:before="280" w:after="80"/>
      </w:pPr>
      <w:r>
        <w:rPr>
          <w:rFonts w:ascii="Arial" w:hAnsi="Arial"/>
          <w:b/>
          <w:color w:val="008069"/>
          <w:sz w:val="24"/>
        </w:rPr>
        <w:t>3.3 Core Interactive Components</w:t>
      </w:r>
    </w:p>
    <w:p>
      <w:pPr>
        <w:pStyle w:val="ListBullet"/>
        <w:spacing w:before="20" w:after="40" w:line="276" w:lineRule="auto"/>
        <w:ind w:left="360"/>
      </w:pPr>
      <w:r>
        <w:rPr>
          <w:rFonts w:ascii="Calibri" w:hAnsi="Calibri"/>
          <w:b/>
          <w:color w:val="263230"/>
          <w:sz w:val="20"/>
        </w:rPr>
        <w:t xml:space="preserve">ChatWidget.js: </w:t>
      </w:r>
      <w:r>
        <w:rPr>
          <w:rFonts w:ascii="Calibri" w:hAnsi="Calibri"/>
          <w:color w:val="263230"/>
          <w:sz w:val="20"/>
        </w:rPr>
        <w:t>WhatsApp-inspired layout with green header (#075E54), beige radial dot wallpaper (#EFEAE2), delivered double checkmarks, custom lightweight markdown parser (bold, italic, code, lists), and hydration-safe timestamps.</w:t>
      </w:r>
    </w:p>
    <w:p>
      <w:pPr>
        <w:pStyle w:val="ListBullet"/>
        <w:spacing w:before="20" w:after="40" w:line="276" w:lineRule="auto"/>
        <w:ind w:left="360"/>
      </w:pPr>
      <w:r>
        <w:rPr>
          <w:rFonts w:ascii="Calibri" w:hAnsi="Calibri"/>
          <w:b/>
          <w:color w:val="263230"/>
          <w:sz w:val="20"/>
        </w:rPr>
        <w:t xml:space="preserve">CaseQueueTable.js: </w:t>
      </w:r>
      <w:r>
        <w:rPr>
          <w:rFonts w:ascii="Calibri" w:hAnsi="Calibri"/>
          <w:color w:val="263230"/>
          <w:sz w:val="20"/>
        </w:rPr>
        <w:t>Tabular case list featuring search, status filters, risk pills (Critical, High, Moderate, Low), and one-click 'Claim Case' action.</w:t>
      </w:r>
    </w:p>
    <w:p>
      <w:pPr>
        <w:pStyle w:val="ListBullet"/>
        <w:spacing w:before="20" w:after="40" w:line="276" w:lineRule="auto"/>
        <w:ind w:left="360"/>
      </w:pPr>
      <w:r>
        <w:rPr>
          <w:rFonts w:ascii="Calibri" w:hAnsi="Calibri"/>
          <w:b/>
          <w:color w:val="263230"/>
          <w:sz w:val="20"/>
        </w:rPr>
        <w:t xml:space="preserve">HumanActionForm.js: </w:t>
      </w:r>
      <w:r>
        <w:rPr>
          <w:rFonts w:ascii="Calibri" w:hAnsi="Calibri"/>
          <w:color w:val="263230"/>
          <w:sz w:val="20"/>
        </w:rPr>
        <w:t>Enforces Human-in-the-Loop governance. Allows officers to Approve, Override Risk, Escalate to 112, or Resolve cases with mandatory justification notes appended to the immutable audit trail.</w:t>
      </w:r>
    </w:p>
    <w:p>
      <w:pPr>
        <w:pStyle w:val="ListBullet"/>
        <w:spacing w:before="20" w:after="40" w:line="276" w:lineRule="auto"/>
        <w:ind w:left="360"/>
      </w:pPr>
      <w:r>
        <w:rPr>
          <w:rFonts w:ascii="Calibri" w:hAnsi="Calibri"/>
          <w:b/>
          <w:color w:val="263230"/>
          <w:sz w:val="20"/>
        </w:rPr>
        <w:t xml:space="preserve">AnalyticsCharts.js: </w:t>
      </w:r>
      <w:r>
        <w:rPr>
          <w:rFonts w:ascii="Calibri" w:hAnsi="Calibri"/>
          <w:color w:val="263230"/>
          <w:sz w:val="20"/>
        </w:rPr>
        <w:t>Provides CSS-rendered responsive charts for atrocity categories, channel intakes, and SLA response rates without exposing PII.</w:t>
      </w:r>
    </w:p>
    <w:p>
      <w:pPr>
        <w:pStyle w:val="ListBullet"/>
        <w:spacing w:before="20" w:after="40" w:line="276" w:lineRule="auto"/>
        <w:ind w:left="360"/>
      </w:pPr>
      <w:r>
        <w:rPr>
          <w:rFonts w:ascii="Calibri" w:hAnsi="Calibri"/>
          <w:b/>
          <w:color w:val="263230"/>
          <w:sz w:val="20"/>
        </w:rPr>
        <w:t xml:space="preserve">NearbySupportModal.js: </w:t>
      </w:r>
      <w:r>
        <w:rPr>
          <w:rFonts w:ascii="Calibri" w:hAnsi="Calibri"/>
          <w:color w:val="263230"/>
          <w:sz w:val="20"/>
        </w:rPr>
        <w:t>Interactive geolocation directory modal querying local NGOs and District Legal Services Authorities (DLSA).</w:t>
      </w:r>
    </w:p>
    <w:p>
      <w:pPr>
        <w:keepNext/>
        <w:spacing w:before="280" w:after="80"/>
      </w:pPr>
      <w:r>
        <w:rPr>
          <w:rFonts w:ascii="Arial" w:hAnsi="Arial"/>
          <w:b/>
          <w:color w:val="008069"/>
          <w:sz w:val="24"/>
        </w:rPr>
        <w:t>3.4 Audio Alert Subsystem (Web Audio API)</w:t>
      </w:r>
    </w:p>
    <w:p>
      <w:pPr>
        <w:spacing w:before="40" w:after="80" w:line="276" w:lineRule="auto"/>
      </w:pPr>
      <w:r>
        <w:rPr>
          <w:rFonts w:ascii="Calibri" w:hAnsi="Calibri"/>
          <w:color w:val="263230"/>
          <w:sz w:val="21"/>
        </w:rPr>
        <w:t>To alert helpline officers immediately when a life-threatening or violent case arrives, `counsellor/page.js` incorporates a zero-dependency Web Audio API synthesizer:</w:t>
      </w:r>
    </w:p>
    <w:p>
      <w:pPr>
        <w:pStyle w:val="ListBullet"/>
        <w:spacing w:before="20" w:after="40" w:line="276" w:lineRule="auto"/>
        <w:ind w:left="360"/>
      </w:pPr>
      <w:r>
        <w:rPr>
          <w:rFonts w:ascii="Calibri" w:hAnsi="Calibri"/>
          <w:b/>
          <w:color w:val="263230"/>
          <w:sz w:val="20"/>
        </w:rPr>
        <w:t xml:space="preserve">Pure Synthetic Tone: </w:t>
      </w:r>
      <w:r>
        <w:rPr>
          <w:rFonts w:ascii="Calibri" w:hAnsi="Calibri"/>
          <w:color w:val="263230"/>
          <w:sz w:val="20"/>
        </w:rPr>
        <w:t>Synthesizes a clean 880Hz sine wave tone via OscillatorNode routed to GainNode and AudioContext destination.</w:t>
      </w:r>
    </w:p>
    <w:p>
      <w:pPr>
        <w:pStyle w:val="ListBullet"/>
        <w:spacing w:before="20" w:after="40" w:line="276" w:lineRule="auto"/>
        <w:ind w:left="360"/>
      </w:pPr>
      <w:r>
        <w:rPr>
          <w:rFonts w:ascii="Calibri" w:hAnsi="Calibri"/>
          <w:b/>
          <w:color w:val="263230"/>
          <w:sz w:val="20"/>
        </w:rPr>
        <w:t xml:space="preserve">Volume Envelope: </w:t>
      </w:r>
      <w:r>
        <w:rPr>
          <w:rFonts w:ascii="Calibri" w:hAnsi="Calibri"/>
          <w:color w:val="263230"/>
          <w:sz w:val="20"/>
        </w:rPr>
        <w:t>Exponential gain decay from 0.18 to 0.001 over 0.35 seconds prevents harsh acoustic clipping.</w:t>
      </w:r>
    </w:p>
    <w:p>
      <w:pPr>
        <w:pStyle w:val="ListBullet"/>
        <w:spacing w:before="20" w:after="40" w:line="276" w:lineRule="auto"/>
        <w:ind w:left="360"/>
      </w:pPr>
      <w:r>
        <w:rPr>
          <w:rFonts w:ascii="Calibri" w:hAnsi="Calibri"/>
          <w:b/>
          <w:color w:val="263230"/>
          <w:sz w:val="20"/>
        </w:rPr>
        <w:t xml:space="preserve">Privacy Guarantee: </w:t>
      </w:r>
      <w:r>
        <w:rPr>
          <w:rFonts w:ascii="Calibri" w:hAnsi="Calibri"/>
          <w:color w:val="263230"/>
          <w:sz w:val="20"/>
        </w:rPr>
        <w:t>Zero external audio files or remote streaming; 100% generated in local browser memory.</w:t>
      </w:r>
    </w:p>
    <w:p>
      <w:pPr>
        <w:pStyle w:val="ListBullet"/>
        <w:spacing w:before="20" w:after="40" w:line="276" w:lineRule="auto"/>
        <w:ind w:left="360"/>
      </w:pPr>
      <w:r>
        <w:rPr>
          <w:rFonts w:ascii="Calibri" w:hAnsi="Calibri"/>
          <w:b/>
          <w:color w:val="263230"/>
          <w:sz w:val="20"/>
        </w:rPr>
        <w:t xml:space="preserve">Autoplay Compliant: </w:t>
      </w:r>
      <w:r>
        <w:rPr>
          <w:rFonts w:ascii="Calibri" w:hAnsi="Calibri"/>
          <w:color w:val="263230"/>
          <w:sz w:val="20"/>
        </w:rPr>
        <w:t>Adheres to browser autoplay policies by waiting for first user click/keypress; pre-populates existing cases on mount to avoid nuisance startup beeps.</w:t>
      </w:r>
    </w:p>
    <w:p>
      <w:pPr>
        <w:keepNext/>
        <w:spacing w:before="280" w:after="80"/>
      </w:pPr>
      <w:r>
        <w:rPr>
          <w:rFonts w:ascii="Arial" w:hAnsi="Arial"/>
          <w:b/>
          <w:color w:val="008069"/>
          <w:sz w:val="24"/>
        </w:rPr>
        <w:t>3.5 Bilingual Speech Recognition (Web Speech API)</w:t>
      </w:r>
    </w:p>
    <w:p>
      <w:pPr>
        <w:spacing w:before="40" w:after="80" w:line="276" w:lineRule="auto"/>
      </w:pPr>
      <w:r>
        <w:rPr>
          <w:rFonts w:ascii="Calibri" w:hAnsi="Calibri"/>
          <w:color w:val="263230"/>
          <w:sz w:val="21"/>
        </w:rPr>
        <w:t>The `ChatWidget` integrates the browser's native `SpeechRecognition` API. When the microphone button is clicked, it dynamically selects `hi-IN` for Hindi or `en-IN` for English. As the user speaks, interim transcriptions are rendered live into the input box, facilitating access for non-literate or distressed citizens.</w:t>
      </w:r>
    </w:p>
    <w:p>
      <w:pPr>
        <w:keepNext/>
        <w:spacing w:before="280" w:after="80"/>
      </w:pPr>
      <w:r>
        <w:rPr>
          <w:rFonts w:ascii="Arial" w:hAnsi="Arial"/>
          <w:b/>
          <w:color w:val="008069"/>
          <w:sz w:val="24"/>
        </w:rPr>
        <w:t>3.6 Official Case Summary Print Subsystem</w:t>
      </w:r>
    </w:p>
    <w:p>
      <w:pPr>
        <w:spacing w:before="40" w:after="80" w:line="276" w:lineRule="auto"/>
      </w:pPr>
      <w:r>
        <w:rPr>
          <w:rFonts w:ascii="Calibri" w:hAnsi="Calibri"/>
          <w:color w:val="263230"/>
          <w:sz w:val="21"/>
        </w:rPr>
        <w:t>On `/counsellor/[caseId]`, clicking 'Print / Save as PDF' triggers `window.print()`. Custom CSS `@media print` strips away navigation bars, action buttons, and background gradients, rendering an official Government Case Summary complete with Case ID, PoA Act violation tags, acoustic metrics, officer findings, and audit timestamps suitable for court or legal archival.</w:t>
      </w:r>
    </w:p>
    <w:p>
      <w:pPr>
        <w:keepNext/>
        <w:spacing w:before="360" w:after="120"/>
        <w:pBdr>
          <w:bottom w:val="single" w:sz="12" w:space="4" w:color="1B365D"/>
        </w:pBdr>
      </w:pPr>
      <w:r>
        <w:rPr>
          <w:rFonts w:ascii="Arial" w:hAnsi="Arial"/>
          <w:b/>
          <w:color w:val="1B365D"/>
          <w:sz w:val="28"/>
        </w:rPr>
        <w:t>4. State Management, API Bridges &amp; Data Flow</w:t>
      </w:r>
    </w:p>
    <w:p>
      <w:pPr>
        <w:keepNext/>
        <w:spacing w:before="280" w:after="80"/>
      </w:pPr>
      <w:r>
        <w:rPr>
          <w:rFonts w:ascii="Arial" w:hAnsi="Arial"/>
          <w:b/>
          <w:color w:val="008069"/>
          <w:sz w:val="24"/>
        </w:rPr>
        <w:t>4.1 Client-Side State Management</w:t>
      </w:r>
    </w:p>
    <w:p>
      <w:pPr>
        <w:pStyle w:val="ListBullet"/>
        <w:spacing w:before="20" w:after="40" w:line="276" w:lineRule="auto"/>
        <w:ind w:left="360"/>
      </w:pPr>
      <w:r>
        <w:rPr>
          <w:rFonts w:ascii="Calibri" w:hAnsi="Calibri"/>
          <w:b/>
          <w:color w:val="263230"/>
          <w:sz w:val="20"/>
        </w:rPr>
        <w:t xml:space="preserve">Case Store: </w:t>
      </w:r>
      <w:r>
        <w:rPr>
          <w:rFonts w:ascii="Calibri" w:hAnsi="Calibri"/>
          <w:color w:val="263230"/>
          <w:sz w:val="20"/>
        </w:rPr>
        <w:t>Managed by `useCaseStore` in `lib/caseStore.js`. Automatically synchronizes state changes to `localStorage('svi_cases_state_v1')`. Handles case claiming and human override actions.</w:t>
      </w:r>
    </w:p>
    <w:p>
      <w:pPr>
        <w:pStyle w:val="ListBullet"/>
        <w:spacing w:before="20" w:after="40" w:line="276" w:lineRule="auto"/>
        <w:ind w:left="360"/>
      </w:pPr>
      <w:r>
        <w:rPr>
          <w:rFonts w:ascii="Calibri" w:hAnsi="Calibri"/>
          <w:b/>
          <w:color w:val="263230"/>
          <w:sz w:val="20"/>
        </w:rPr>
        <w:t xml:space="preserve">Auth &amp; Language Context: </w:t>
      </w:r>
      <w:r>
        <w:rPr>
          <w:rFonts w:ascii="Calibri" w:hAnsi="Calibri"/>
          <w:color w:val="263230"/>
          <w:sz w:val="20"/>
        </w:rPr>
        <w:t>Managed by `useAuth` in `lib/authContext.js`. Maintains current role (victim, counsellor, admin), active language (en/hi), and generates anonymous victim tracking numbers (SVI-2026-XXXX).</w:t>
      </w:r>
    </w:p>
    <w:p>
      <w:pPr>
        <w:keepNext/>
        <w:spacing w:before="280" w:after="80"/>
      </w:pPr>
      <w:r>
        <w:rPr>
          <w:rFonts w:ascii="Arial" w:hAnsi="Arial"/>
          <w:b/>
          <w:color w:val="008069"/>
          <w:sz w:val="24"/>
        </w:rPr>
        <w:t>4.2 Next.js API Proxy Bridge</w:t>
      </w:r>
    </w:p>
    <w:p>
      <w:pPr>
        <w:spacing w:before="40" w:after="80" w:line="276" w:lineRule="auto"/>
      </w:pPr>
      <w:r>
        <w:rPr>
          <w:rFonts w:ascii="Calibri" w:hAnsi="Calibri"/>
          <w:color w:val="263230"/>
          <w:sz w:val="21"/>
        </w:rPr>
        <w:t>Because the Next.js dev server runs on port 3000 and FastAPI runs on port 5500, browser CORS restrictions would typically block direct cross-origin calls. SVI resolves this through two layers:</w:t>
      </w:r>
    </w:p>
    <w:p>
      <w:pPr>
        <w:pStyle w:val="ListBullet"/>
        <w:spacing w:before="20" w:after="40" w:line="276" w:lineRule="auto"/>
        <w:ind w:left="360"/>
      </w:pPr>
      <w:r>
        <w:rPr>
          <w:rFonts w:ascii="Calibri" w:hAnsi="Calibri"/>
          <w:b/>
          <w:color w:val="263230"/>
          <w:sz w:val="20"/>
        </w:rPr>
        <w:t xml:space="preserve">Next.js Rewrites: </w:t>
      </w:r>
      <w:r>
        <w:rPr>
          <w:rFonts w:ascii="Calibri" w:hAnsi="Calibri"/>
          <w:color w:val="263230"/>
          <w:sz w:val="20"/>
        </w:rPr>
        <w:t>`next.config.js` sets up an internal rewrite from `/backend-api/:path*` to `http://127.0.0.1:5500/:path*`.</w:t>
      </w:r>
    </w:p>
    <w:p>
      <w:pPr>
        <w:pStyle w:val="ListBullet"/>
        <w:spacing w:before="20" w:after="40" w:line="276" w:lineRule="auto"/>
        <w:ind w:left="360"/>
      </w:pPr>
      <w:r>
        <w:rPr>
          <w:rFonts w:ascii="Calibri" w:hAnsi="Calibri"/>
          <w:b/>
          <w:color w:val="263230"/>
          <w:sz w:val="20"/>
        </w:rPr>
        <w:t xml:space="preserve">Server-Side Route Handler: </w:t>
      </w:r>
      <w:r>
        <w:rPr>
          <w:rFonts w:ascii="Calibri" w:hAnsi="Calibri"/>
          <w:color w:val="263230"/>
          <w:sz w:val="20"/>
        </w:rPr>
        <w:t>`frontend/app/api/ask/route.js` serves as a server-side proxy handler with extended 60-second timeouts and automatic fallback generation if the backend is temporarily offline.</w:t>
      </w:r>
    </w:p>
    <w:p>
      <w:pPr>
        <w:keepNext/>
        <w:spacing w:before="280" w:after="80"/>
      </w:pPr>
      <w:r>
        <w:rPr>
          <w:rFonts w:ascii="Arial" w:hAnsi="Arial"/>
          <w:b/>
          <w:color w:val="008069"/>
          <w:sz w:val="24"/>
        </w:rPr>
        <w:t>4.3 End-to-End Message Lifecycle</w:t>
      </w:r>
    </w:p>
    <w:p>
      <w:pPr>
        <w:pStyle w:val="ListBullet"/>
        <w:spacing w:before="20" w:after="40" w:line="276" w:lineRule="auto"/>
        <w:ind w:left="360"/>
      </w:pPr>
      <w:r>
        <w:rPr>
          <w:rFonts w:ascii="Calibri" w:hAnsi="Calibri"/>
          <w:b/>
          <w:color w:val="263230"/>
          <w:sz w:val="20"/>
        </w:rPr>
        <w:t xml:space="preserve">Step 1 - Input: </w:t>
      </w:r>
      <w:r>
        <w:rPr>
          <w:rFonts w:ascii="Calibri" w:hAnsi="Calibri"/>
          <w:color w:val="263230"/>
          <w:sz w:val="20"/>
        </w:rPr>
        <w:t>Citizen enters text or speaks via Web Speech API in ChatWidget.</w:t>
      </w:r>
    </w:p>
    <w:p>
      <w:pPr>
        <w:pStyle w:val="ListBullet"/>
        <w:spacing w:before="20" w:after="40" w:line="276" w:lineRule="auto"/>
        <w:ind w:left="360"/>
      </w:pPr>
      <w:r>
        <w:rPr>
          <w:rFonts w:ascii="Calibri" w:hAnsi="Calibri"/>
          <w:b/>
          <w:color w:val="263230"/>
          <w:sz w:val="20"/>
        </w:rPr>
        <w:t xml:space="preserve">Step 2 - Dispatch: </w:t>
      </w:r>
      <w:r>
        <w:rPr>
          <w:rFonts w:ascii="Calibri" w:hAnsi="Calibri"/>
          <w:color w:val="263230"/>
          <w:sz w:val="20"/>
        </w:rPr>
        <w:t>Message is appended to UI; `askTherapist()` dispatches POST to `/api/ask`.</w:t>
      </w:r>
    </w:p>
    <w:p>
      <w:pPr>
        <w:pStyle w:val="ListBullet"/>
        <w:spacing w:before="20" w:after="40" w:line="276" w:lineRule="auto"/>
        <w:ind w:left="360"/>
      </w:pPr>
      <w:r>
        <w:rPr>
          <w:rFonts w:ascii="Calibri" w:hAnsi="Calibri"/>
          <w:b/>
          <w:color w:val="263230"/>
          <w:sz w:val="20"/>
        </w:rPr>
        <w:t xml:space="preserve">Step 3 - Forwarding: </w:t>
      </w:r>
      <w:r>
        <w:rPr>
          <w:rFonts w:ascii="Calibri" w:hAnsi="Calibri"/>
          <w:color w:val="263230"/>
          <w:sz w:val="20"/>
        </w:rPr>
        <w:t>Next.js route handler forwards the JSON payload to FastAPI `http://127.0.0.1:5500/ask`.</w:t>
      </w:r>
    </w:p>
    <w:p>
      <w:pPr>
        <w:pStyle w:val="ListBullet"/>
        <w:spacing w:before="20" w:after="40" w:line="276" w:lineRule="auto"/>
        <w:ind w:left="360"/>
      </w:pPr>
      <w:r>
        <w:rPr>
          <w:rFonts w:ascii="Calibri" w:hAnsi="Calibri"/>
          <w:b/>
          <w:color w:val="263230"/>
          <w:sz w:val="20"/>
        </w:rPr>
        <w:t xml:space="preserve">Step 4 - AI Evaluation: </w:t>
      </w:r>
      <w:r>
        <w:rPr>
          <w:rFonts w:ascii="Calibri" w:hAnsi="Calibri"/>
          <w:color w:val="263230"/>
          <w:sz w:val="20"/>
        </w:rPr>
        <w:t>FastAPI validates request and triggers LangGraph ReAct agent stream.</w:t>
      </w:r>
    </w:p>
    <w:p>
      <w:pPr>
        <w:pStyle w:val="ListBullet"/>
        <w:spacing w:before="20" w:after="40" w:line="276" w:lineRule="auto"/>
        <w:ind w:left="360"/>
      </w:pPr>
      <w:r>
        <w:rPr>
          <w:rFonts w:ascii="Calibri" w:hAnsi="Calibri"/>
          <w:b/>
          <w:color w:val="263230"/>
          <w:sz w:val="20"/>
        </w:rPr>
        <w:t xml:space="preserve">Step 5 - Tool Invocation: </w:t>
      </w:r>
      <w:r>
        <w:rPr>
          <w:rFonts w:ascii="Calibri" w:hAnsi="Calibri"/>
          <w:color w:val="263230"/>
          <w:sz w:val="20"/>
        </w:rPr>
        <w:t>Agent queries Ollama MedGemma or invokes Twilio Voice calling if suicidal risk is detected.</w:t>
      </w:r>
    </w:p>
    <w:p>
      <w:pPr>
        <w:pStyle w:val="ListBullet"/>
        <w:spacing w:before="20" w:after="40" w:line="276" w:lineRule="auto"/>
        <w:ind w:left="360"/>
      </w:pPr>
      <w:r>
        <w:rPr>
          <w:rFonts w:ascii="Calibri" w:hAnsi="Calibri"/>
          <w:b/>
          <w:color w:val="263230"/>
          <w:sz w:val="20"/>
        </w:rPr>
        <w:t xml:space="preserve">Step 6 - Stream Extraction: </w:t>
      </w:r>
      <w:r>
        <w:rPr>
          <w:rFonts w:ascii="Calibri" w:hAnsi="Calibri"/>
          <w:color w:val="263230"/>
          <w:sz w:val="20"/>
        </w:rPr>
        <w:t>`parse_response()` extracts text and tool name, returning HTTP 200 to Next.js.</w:t>
      </w:r>
    </w:p>
    <w:p>
      <w:pPr>
        <w:pStyle w:val="ListBullet"/>
        <w:spacing w:before="20" w:after="40" w:line="276" w:lineRule="auto"/>
        <w:ind w:left="360"/>
      </w:pPr>
      <w:r>
        <w:rPr>
          <w:rFonts w:ascii="Calibri" w:hAnsi="Calibri"/>
          <w:b/>
          <w:color w:val="263230"/>
          <w:sz w:val="20"/>
        </w:rPr>
        <w:t xml:space="preserve">Step 7 - Rendering: </w:t>
      </w:r>
      <w:r>
        <w:rPr>
          <w:rFonts w:ascii="Calibri" w:hAnsi="Calibri"/>
          <w:color w:val="263230"/>
          <w:sz w:val="20"/>
        </w:rPr>
        <w:t>ChatWidget formats the reply, marks double blue checkmarks, and displays action cards.</w:t>
      </w:r>
    </w:p>
    <w:p>
      <w:pPr>
        <w:keepNext/>
        <w:spacing w:before="360" w:after="120"/>
        <w:pBdr>
          <w:bottom w:val="single" w:sz="12" w:space="4" w:color="1B365D"/>
        </w:pBdr>
      </w:pPr>
      <w:r>
        <w:rPr>
          <w:rFonts w:ascii="Arial" w:hAnsi="Arial"/>
          <w:b/>
          <w:color w:val="1B365D"/>
          <w:sz w:val="28"/>
        </w:rPr>
        <w:t>5. Security, Compliance &amp; DPDP 2023</w:t>
      </w:r>
    </w:p>
    <w:p>
      <w:pPr>
        <w:spacing w:before="40" w:after="80" w:line="276" w:lineRule="auto"/>
      </w:pPr>
      <w:r>
        <w:rPr>
          <w:rFonts w:ascii="Calibri" w:hAnsi="Calibri"/>
          <w:color w:val="263230"/>
          <w:sz w:val="21"/>
        </w:rPr>
        <w:t>The Digital Personal Data Protection Act (DPDP 2023) sets stringent standards for citizen data processing. SVI implements privacy-by-design throughout its architecture:</w:t>
      </w:r>
    </w:p>
    <w:p>
      <w:pPr>
        <w:pStyle w:val="ListBullet"/>
        <w:spacing w:before="20" w:after="40" w:line="276" w:lineRule="auto"/>
        <w:ind w:left="360"/>
      </w:pPr>
      <w:r>
        <w:rPr>
          <w:rFonts w:ascii="Calibri" w:hAnsi="Calibri"/>
          <w:b/>
          <w:color w:val="263230"/>
          <w:sz w:val="20"/>
        </w:rPr>
        <w:t xml:space="preserve">Explicit Consent: </w:t>
      </w:r>
      <w:r>
        <w:rPr>
          <w:rFonts w:ascii="Calibri" w:hAnsi="Calibri"/>
          <w:color w:val="263230"/>
          <w:sz w:val="20"/>
        </w:rPr>
        <w:t>Citizens must review and agree to text and voice analysis parameters before chat intake initiates.</w:t>
      </w:r>
    </w:p>
    <w:p>
      <w:pPr>
        <w:pStyle w:val="ListBullet"/>
        <w:spacing w:before="20" w:after="40" w:line="276" w:lineRule="auto"/>
        <w:ind w:left="360"/>
      </w:pPr>
      <w:r>
        <w:rPr>
          <w:rFonts w:ascii="Calibri" w:hAnsi="Calibri"/>
          <w:b/>
          <w:color w:val="263230"/>
          <w:sz w:val="20"/>
        </w:rPr>
        <w:t xml:space="preserve">Revocable Consent: </w:t>
      </w:r>
      <w:r>
        <w:rPr>
          <w:rFonts w:ascii="Calibri" w:hAnsi="Calibri"/>
          <w:color w:val="263230"/>
          <w:sz w:val="20"/>
        </w:rPr>
        <w:t>Citizens can visit `/consent` anytime to review or revoke data processing permissions.</w:t>
      </w:r>
    </w:p>
    <w:p>
      <w:pPr>
        <w:pStyle w:val="ListBullet"/>
        <w:spacing w:before="20" w:after="40" w:line="276" w:lineRule="auto"/>
        <w:ind w:left="360"/>
      </w:pPr>
      <w:r>
        <w:rPr>
          <w:rFonts w:ascii="Calibri" w:hAnsi="Calibri"/>
          <w:b/>
          <w:color w:val="263230"/>
          <w:sz w:val="20"/>
        </w:rPr>
        <w:t xml:space="preserve">Anonymous Identity: </w:t>
      </w:r>
      <w:r>
        <w:rPr>
          <w:rFonts w:ascii="Calibri" w:hAnsi="Calibri"/>
          <w:color w:val="263230"/>
          <w:sz w:val="20"/>
        </w:rPr>
        <w:t>Complainants receive pseudo-random ticket IDs; no Aadhaar, phone OTP, or real names are required.</w:t>
      </w:r>
    </w:p>
    <w:p>
      <w:pPr>
        <w:pStyle w:val="ListBullet"/>
        <w:spacing w:before="20" w:after="40" w:line="276" w:lineRule="auto"/>
        <w:ind w:left="360"/>
      </w:pPr>
      <w:r>
        <w:rPr>
          <w:rFonts w:ascii="Calibri" w:hAnsi="Calibri"/>
          <w:b/>
          <w:color w:val="263230"/>
          <w:sz w:val="20"/>
        </w:rPr>
        <w:t xml:space="preserve">Transcript Redaction: </w:t>
      </w:r>
      <w:r>
        <w:rPr>
          <w:rFonts w:ascii="Calibri" w:hAnsi="Calibri"/>
          <w:color w:val="263230"/>
          <w:sz w:val="20"/>
        </w:rPr>
        <w:t>Case detail view includes an `Eye`/`EyeOff` toggle that blurs sensitive victim transcripts during screen sharing or peer review.</w:t>
      </w:r>
    </w:p>
    <w:p>
      <w:pPr>
        <w:pStyle w:val="ListBullet"/>
        <w:spacing w:before="20" w:after="40" w:line="276" w:lineRule="auto"/>
        <w:ind w:left="360"/>
      </w:pPr>
      <w:r>
        <w:rPr>
          <w:rFonts w:ascii="Calibri" w:hAnsi="Calibri"/>
          <w:b/>
          <w:color w:val="263230"/>
          <w:sz w:val="20"/>
        </w:rPr>
        <w:t xml:space="preserve">De-Identified Analytics: </w:t>
      </w:r>
      <w:r>
        <w:rPr>
          <w:rFonts w:ascii="Calibri" w:hAnsi="Calibri"/>
          <w:color w:val="263230"/>
          <w:sz w:val="20"/>
        </w:rPr>
        <w:t>Administrative metrics aggregate data by district and violation type, completely excluding PII.</w:t>
      </w:r>
    </w:p>
    <w:p>
      <w:pPr>
        <w:keepNext/>
        <w:spacing w:before="360" w:after="120"/>
        <w:pBdr>
          <w:bottom w:val="single" w:sz="12" w:space="4" w:color="1B365D"/>
        </w:pBdr>
      </w:pPr>
      <w:r>
        <w:rPr>
          <w:rFonts w:ascii="Arial" w:hAnsi="Arial"/>
          <w:b/>
          <w:color w:val="1B365D"/>
          <w:sz w:val="28"/>
        </w:rPr>
        <w:t>6. Strengths, Technical Gaps &amp; Production Roadmap</w:t>
      </w:r>
    </w:p>
    <w:tbl>
      <w:tblPr>
        <w:tblW w:type="auto" w:w="0"/>
        <w:jc w:val="center"/>
        <w:tblLook w:firstColumn="1" w:firstRow="1" w:lastColumn="0" w:lastRow="0" w:noHBand="0" w:noVBand="1" w:val="04A0"/>
      </w:tblPr>
      <w:tblGrid>
        <w:gridCol w:w="3360"/>
        <w:gridCol w:w="3360"/>
        <w:gridCol w:w="3360"/>
      </w:tblGrid>
      <w:tr>
        <w:tc>
          <w:tcPr>
            <w:tcW w:type="dxa" w:w="3360"/>
            <w:shd w:fill="008069"/>
            <w:tcMar>
              <w:top w:w="80" w:type="dxa"/>
              <w:bottom w:w="80" w:type="dxa"/>
              <w:left w:w="100" w:type="dxa"/>
              <w:right w:w="100" w:type="dxa"/>
            </w:tcMar>
          </w:tcPr>
          <w:p>
            <w:pPr>
              <w:spacing w:before="60" w:after="60"/>
            </w:pPr>
            <w:r>
              <w:rPr>
                <w:rFonts w:ascii="Arial" w:hAnsi="Arial"/>
                <w:b/>
                <w:color w:val="FFFFFF"/>
                <w:sz w:val="19"/>
              </w:rPr>
              <w:t>Component</w:t>
            </w:r>
          </w:p>
        </w:tc>
        <w:tc>
          <w:tcPr>
            <w:tcW w:type="dxa" w:w="3360"/>
            <w:shd w:fill="008069"/>
            <w:tcMar>
              <w:top w:w="80" w:type="dxa"/>
              <w:bottom w:w="80" w:type="dxa"/>
              <w:left w:w="100" w:type="dxa"/>
              <w:right w:w="100" w:type="dxa"/>
            </w:tcMar>
          </w:tcPr>
          <w:p>
            <w:pPr>
              <w:spacing w:before="60" w:after="60"/>
            </w:pPr>
            <w:r>
              <w:rPr>
                <w:rFonts w:ascii="Arial" w:hAnsi="Arial"/>
                <w:b/>
                <w:color w:val="FFFFFF"/>
                <w:sz w:val="19"/>
              </w:rPr>
              <w:t>Current Prototype State</w:t>
            </w:r>
          </w:p>
        </w:tc>
        <w:tc>
          <w:tcPr>
            <w:tcW w:type="dxa" w:w="3360"/>
            <w:shd w:fill="008069"/>
            <w:tcMar>
              <w:top w:w="80" w:type="dxa"/>
              <w:bottom w:w="80" w:type="dxa"/>
              <w:left w:w="100" w:type="dxa"/>
              <w:right w:w="100" w:type="dxa"/>
            </w:tcMar>
          </w:tcPr>
          <w:p>
            <w:pPr>
              <w:spacing w:before="60" w:after="60"/>
            </w:pPr>
            <w:r>
              <w:rPr>
                <w:rFonts w:ascii="Arial" w:hAnsi="Arial"/>
                <w:b/>
                <w:color w:val="FFFFFF"/>
                <w:sz w:val="19"/>
              </w:rPr>
              <w:t>Production Deployment Roadmap</w:t>
            </w:r>
          </w:p>
        </w:tc>
      </w:tr>
      <w:tr>
        <w:tc>
          <w:tcPr>
            <w:tcW w:type="dxa" w:w="3360"/>
            <w:shd w:fill="F8F9FA"/>
            <w:tcMar>
              <w:top w:w="80" w:type="dxa"/>
              <w:bottom w:w="80" w:type="dxa"/>
              <w:left w:w="100" w:type="dxa"/>
              <w:right w:w="100" w:type="dxa"/>
            </w:tcMar>
          </w:tcPr>
          <w:p>
            <w:pPr>
              <w:spacing w:before="60" w:after="60"/>
            </w:pPr>
            <w:r>
              <w:rPr>
                <w:rFonts w:ascii="Calibri" w:hAnsi="Calibri"/>
                <w:color w:val="263230"/>
                <w:sz w:val="18"/>
              </w:rPr>
              <w:t>Persistence</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Client `localStorage` ('svi_cases_state_v1')</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Relational PostgreSQL database with SQLAlchemy ORM and Alembic migrations.</w:t>
            </w:r>
          </w:p>
        </w:tc>
      </w:tr>
      <w:tr>
        <w:tc>
          <w:tcPr>
            <w:tcW w:type="dxa" w:w="3360"/>
            <w:shd w:fill="FFFFFF"/>
            <w:tcMar>
              <w:top w:w="80" w:type="dxa"/>
              <w:bottom w:w="80" w:type="dxa"/>
              <w:left w:w="100" w:type="dxa"/>
              <w:right w:w="100" w:type="dxa"/>
            </w:tcMar>
          </w:tcPr>
          <w:p>
            <w:pPr>
              <w:spacing w:before="60" w:after="60"/>
            </w:pPr>
            <w:r>
              <w:rPr>
                <w:rFonts w:ascii="Calibri" w:hAnsi="Calibri"/>
                <w:color w:val="263230"/>
                <w:sz w:val="18"/>
              </w:rPr>
              <w:t>Backend API</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Single route (`POST /ask`)</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Full RESTful CRUD API on FastAPI (`/api/cases`, `/api/audit`, `/api/auth`).</w:t>
            </w:r>
          </w:p>
        </w:tc>
      </w:tr>
      <w:tr>
        <w:tc>
          <w:tcPr>
            <w:tcW w:type="dxa" w:w="3360"/>
            <w:shd w:fill="F8F9FA"/>
            <w:tcMar>
              <w:top w:w="80" w:type="dxa"/>
              <w:bottom w:w="80" w:type="dxa"/>
              <w:left w:w="100" w:type="dxa"/>
              <w:right w:w="100" w:type="dxa"/>
            </w:tcMar>
          </w:tcPr>
          <w:p>
            <w:pPr>
              <w:spacing w:before="60" w:after="60"/>
            </w:pPr>
            <w:r>
              <w:rPr>
                <w:rFonts w:ascii="Calibri" w:hAnsi="Calibri"/>
                <w:color w:val="263230"/>
                <w:sz w:val="18"/>
              </w:rPr>
              <w:t>Authentication</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Simulated role switching via `authContext.js`</w:t>
            </w:r>
          </w:p>
        </w:tc>
        <w:tc>
          <w:tcPr>
            <w:tcW w:type="dxa" w:w="3360"/>
            <w:shd w:fill="F8F9FA"/>
            <w:tcMar>
              <w:top w:w="80" w:type="dxa"/>
              <w:bottom w:w="80" w:type="dxa"/>
              <w:left w:w="100" w:type="dxa"/>
              <w:right w:w="100" w:type="dxa"/>
            </w:tcMar>
          </w:tcPr>
          <w:p>
            <w:pPr>
              <w:spacing w:before="60" w:after="60"/>
            </w:pPr>
            <w:r>
              <w:rPr>
                <w:rFonts w:ascii="Calibri" w:hAnsi="Calibri"/>
                <w:color w:val="263230"/>
                <w:sz w:val="18"/>
              </w:rPr>
              <w:t>Secure JWT bearer authentication with bcrypt password hashing and RBAC.</w:t>
            </w:r>
          </w:p>
        </w:tc>
      </w:tr>
      <w:tr>
        <w:tc>
          <w:tcPr>
            <w:tcW w:type="dxa" w:w="3360"/>
            <w:shd w:fill="FFFFFF"/>
            <w:tcMar>
              <w:top w:w="80" w:type="dxa"/>
              <w:bottom w:w="80" w:type="dxa"/>
              <w:left w:w="100" w:type="dxa"/>
              <w:right w:w="100" w:type="dxa"/>
            </w:tcMar>
          </w:tcPr>
          <w:p>
            <w:pPr>
              <w:spacing w:before="60" w:after="60"/>
            </w:pPr>
            <w:r>
              <w:rPr>
                <w:rFonts w:ascii="Calibri" w:hAnsi="Calibri"/>
                <w:color w:val="263230"/>
                <w:sz w:val="18"/>
              </w:rPr>
              <w:t>Acoustic Emotion</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Simulated tremor and pitch scores in mock data</w:t>
            </w:r>
          </w:p>
        </w:tc>
        <w:tc>
          <w:tcPr>
            <w:tcW w:type="dxa" w:w="3360"/>
            <w:shd w:fill="FFFFFF"/>
            <w:tcMar>
              <w:top w:w="80" w:type="dxa"/>
              <w:bottom w:w="80" w:type="dxa"/>
              <w:left w:w="100" w:type="dxa"/>
              <w:right w:w="100" w:type="dxa"/>
            </w:tcMar>
          </w:tcPr>
          <w:p>
            <w:pPr>
              <w:spacing w:before="60" w:after="60"/>
            </w:pPr>
            <w:r>
              <w:rPr>
                <w:rFonts w:ascii="Calibri" w:hAnsi="Calibri"/>
                <w:color w:val="263230"/>
                <w:sz w:val="18"/>
              </w:rPr>
              <w:t>Live audio streaming (WAV) to Python Librosa / Hugging Face SER ML models.</w:t>
            </w:r>
          </w:p>
        </w:tc>
      </w:tr>
    </w:tbl>
    <w:p>
      <w:pPr>
        <w:spacing w:after="240"/>
      </w:pP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left w:val="single" w:sz="24" w:space="0" w:color="1B365D"/>
              <w:top w:val="none"/>
              <w:right w:val="none"/>
              <w:bottom w:val="none"/>
            </w:tcBorders>
          </w:tcPr>
          <w:p>
            <w:pPr>
              <w:spacing w:before="40" w:after="40"/>
            </w:pPr>
            <w:r>
              <w:rPr>
                <w:rFonts w:ascii="Arial" w:hAnsi="Arial"/>
                <w:b/>
                <w:color w:val="1B365D"/>
                <w:sz w:val="19"/>
              </w:rPr>
              <w:t xml:space="preserve">[STATUS: COMPLETE] </w:t>
            </w:r>
            <w:r>
              <w:rPr>
                <w:rFonts w:ascii="Calibri" w:hAnsi="Calibri"/>
                <w:color w:val="263230"/>
                <w:sz w:val="19"/>
              </w:rPr>
              <w:t>Report finalized and verified against active workspace files. Both backend and frontend services are currently executing live on localhost ports 5500 and 3000.</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