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Proposal: Hybrid Cloud Migration for Central Agricultural Data Mission (2024)</w:t>
      </w:r>
    </w:p>
    <w:p>
      <w:r>
        <w:rPr>
          <w:i/>
        </w:rPr>
        <w:t>Client: Central Agricultural Data Mission (fictional) | Year: 2024 | Result: WON | Synthetic past proposal for the TenderBridge demo</w:t>
      </w:r>
    </w:p>
    <w:tbl>
      <w:tblPr>
        <w:tblStyle w:val="TableGrid"/>
        <w:tblW w:type="auto" w:w="0"/>
        <w:tblLook w:firstColumn="1" w:firstRow="1" w:lastColumn="0" w:lastRow="0" w:noHBand="0" w:noVBand="1" w:val="04A0"/>
      </w:tblPr>
      <w:tblGrid>
        <w:gridCol w:w="4873"/>
        <w:gridCol w:w="4873"/>
      </w:tblGrid>
      <w:tr>
        <w:tc>
          <w:tcPr>
            <w:tcW w:type="dxa" w:w="4873"/>
            <w:shd w:val="clear" w:color="auto" w:fill="F6EFE2"/>
          </w:tcPr>
          <w:p>
            <w:r>
              <w:rPr>
                <w:b/>
                <w:sz w:val="18"/>
              </w:rPr>
              <w:t>Metadata</w:t>
            </w:r>
          </w:p>
        </w:tc>
        <w:tc>
          <w:tcPr>
            <w:tcW w:type="dxa" w:w="4873"/>
            <w:shd w:val="clear" w:color="auto" w:fill="F6EFE2"/>
          </w:tcPr>
          <w:p>
            <w:r>
              <w:rPr>
                <w:b/>
                <w:sz w:val="18"/>
              </w:rPr>
              <w:t>Value</w:t>
            </w:r>
          </w:p>
        </w:tc>
      </w:tr>
      <w:tr>
        <w:tc>
          <w:tcPr>
            <w:tcW w:type="dxa" w:w="4873"/>
          </w:tcPr>
          <w:p>
            <w:r>
              <w:rPr>
                <w:sz w:val="18"/>
              </w:rPr>
              <w:t>Document ID</w:t>
            </w:r>
          </w:p>
        </w:tc>
        <w:tc>
          <w:tcPr>
            <w:tcW w:type="dxa" w:w="4873"/>
          </w:tcPr>
          <w:p>
            <w:r>
              <w:rPr>
                <w:sz w:val="18"/>
              </w:rPr>
              <w:t>KB-PP-002</w:t>
            </w:r>
          </w:p>
        </w:tc>
      </w:tr>
      <w:tr>
        <w:tc>
          <w:tcPr>
            <w:tcW w:type="dxa" w:w="4873"/>
          </w:tcPr>
          <w:p>
            <w:r>
              <w:rPr>
                <w:sz w:val="18"/>
              </w:rPr>
              <w:t>Client (fictional)</w:t>
            </w:r>
          </w:p>
        </w:tc>
        <w:tc>
          <w:tcPr>
            <w:tcW w:type="dxa" w:w="4873"/>
          </w:tcPr>
          <w:p>
            <w:r>
              <w:rPr>
                <w:sz w:val="18"/>
              </w:rPr>
              <w:t>Central Agricultural Data Mission (fictional)</w:t>
            </w:r>
          </w:p>
        </w:tc>
      </w:tr>
      <w:tr>
        <w:tc>
          <w:tcPr>
            <w:tcW w:type="dxa" w:w="4873"/>
          </w:tcPr>
          <w:p>
            <w:r>
              <w:rPr>
                <w:sz w:val="18"/>
              </w:rPr>
              <w:t>Year</w:t>
            </w:r>
          </w:p>
        </w:tc>
        <w:tc>
          <w:tcPr>
            <w:tcW w:type="dxa" w:w="4873"/>
          </w:tcPr>
          <w:p>
            <w:r>
              <w:rPr>
                <w:sz w:val="18"/>
              </w:rPr>
              <w:t>2024</w:t>
            </w:r>
          </w:p>
        </w:tc>
      </w:tr>
      <w:tr>
        <w:tc>
          <w:tcPr>
            <w:tcW w:type="dxa" w:w="4873"/>
          </w:tcPr>
          <w:p>
            <w:r>
              <w:rPr>
                <w:sz w:val="18"/>
              </w:rPr>
              <w:t>Result</w:t>
            </w:r>
          </w:p>
        </w:tc>
        <w:tc>
          <w:tcPr>
            <w:tcW w:type="dxa" w:w="4873"/>
          </w:tcPr>
          <w:p>
            <w:r>
              <w:rPr>
                <w:sz w:val="18"/>
              </w:rPr>
              <w:t>won</w:t>
            </w:r>
          </w:p>
        </w:tc>
      </w:tr>
      <w:tr>
        <w:tc>
          <w:tcPr>
            <w:tcW w:type="dxa" w:w="4873"/>
          </w:tcPr>
          <w:p>
            <w:r>
              <w:rPr>
                <w:sz w:val="18"/>
              </w:rPr>
              <w:t>Topic tags</w:t>
            </w:r>
          </w:p>
        </w:tc>
        <w:tc>
          <w:tcPr>
            <w:tcW w:type="dxa" w:w="4873"/>
          </w:tcPr>
          <w:p>
            <w:r>
              <w:rPr>
                <w:sz w:val="18"/>
              </w:rPr>
              <w:t>hybrid cloud, migration, landing zone, DevSecOps, data residency</w:t>
            </w:r>
          </w:p>
        </w:tc>
      </w:tr>
      <w:tr>
        <w:tc>
          <w:tcPr>
            <w:tcW w:type="dxa" w:w="4873"/>
          </w:tcPr>
          <w:p>
            <w:r>
              <w:rPr>
                <w:sz w:val="18"/>
              </w:rPr>
              <w:t>Approved for reuse</w:t>
            </w:r>
          </w:p>
        </w:tc>
        <w:tc>
          <w:tcPr>
            <w:tcW w:type="dxa" w:w="4873"/>
          </w:tcPr>
          <w:p>
            <w:r>
              <w:rPr>
                <w:sz w:val="18"/>
              </w:rPr>
              <w:t>Yes</w:t>
            </w:r>
          </w:p>
        </w:tc>
      </w:tr>
    </w:tbl>
    <w:p/>
    <w:p>
      <w:r>
        <w:br w:type="page"/>
      </w:r>
    </w:p>
    <w:p>
      <w:pPr>
        <w:pStyle w:val="Heading1"/>
      </w:pPr>
      <w:r>
        <w:t>1. Executive summary</w:t>
      </w:r>
    </w:p>
    <w:p>
      <w:r>
        <w:rPr>
          <w:b w:val="0"/>
          <w:i w:val="0"/>
        </w:rPr>
        <w:t>Nimbus will migrate 140 workloads to a hybrid cloud with a private OpenStack region and a MeitY-empanelled public cloud, with all data resident in India.</w:t>
      </w:r>
    </w:p>
    <w:p>
      <w:r>
        <w:br w:type="page"/>
      </w:r>
    </w:p>
    <w:p>
      <w:pPr>
        <w:pStyle w:val="Heading1"/>
      </w:pPr>
      <w:r>
        <w:t>2. Approach</w:t>
      </w:r>
    </w:p>
    <w:p>
      <w:r>
        <w:rPr>
          <w:b w:val="0"/>
          <w:i w:val="0"/>
        </w:rPr>
        <w:t>Assess, design landing zone, migrate in waves of 10 to 15 workloads, and stabilise with 12 months of hypercare.</w:t>
      </w:r>
    </w:p>
    <w:p>
      <w:r>
        <w:br w:type="page"/>
      </w:r>
    </w:p>
    <w:p>
      <w:pPr>
        <w:pStyle w:val="Heading1"/>
      </w:pPr>
      <w:r>
        <w:t>3. Landing zone</w:t>
      </w:r>
    </w:p>
    <w:p>
      <w:pPr>
        <w:pStyle w:val="ListBullet"/>
      </w:pPr>
      <w:r>
        <w:t>Identity and access with least privilege</w:t>
      </w:r>
    </w:p>
    <w:p>
      <w:pPr>
        <w:pStyle w:val="ListBullet"/>
      </w:pPr>
      <w:r>
        <w:t>Network segmentation and central egress</w:t>
      </w:r>
    </w:p>
    <w:p>
      <w:pPr>
        <w:pStyle w:val="ListBullet"/>
      </w:pPr>
      <w:r>
        <w:t>Logging retained in India for 180 days</w:t>
      </w:r>
    </w:p>
    <w:p>
      <w:pPr>
        <w:pStyle w:val="ListBullet"/>
      </w:pPr>
      <w:r>
        <w:t>Policy-as-code guardrails</w:t>
      </w:r>
    </w:p>
    <w:p>
      <w:r>
        <w:br w:type="page"/>
      </w:r>
    </w:p>
    <w:p>
      <w:pPr>
        <w:pStyle w:val="Heading1"/>
      </w:pPr>
      <w:r>
        <w:t>4. Migration factory</w:t>
      </w:r>
    </w:p>
    <w:p>
      <w:r>
        <w:rPr>
          <w:b w:val="0"/>
          <w:i w:val="0"/>
        </w:rPr>
        <w:t>Each wave: discovery, dependency mapping, re-host or re-platform decision, test, cut-over, hypercare.</w:t>
      </w:r>
    </w:p>
    <w:p>
      <w:r>
        <w:br w:type="page"/>
      </w:r>
    </w:p>
    <w:p>
      <w:pPr>
        <w:pStyle w:val="Heading1"/>
      </w:pPr>
      <w:r>
        <w:t>5. Operations and FinOps</w:t>
      </w:r>
    </w:p>
    <w:p>
      <w:r>
        <w:rPr>
          <w:b w:val="0"/>
          <w:i w:val="0"/>
        </w:rPr>
        <w:t>Self-service portal, monthly cost and usage reports, rightsizing recommendations.</w:t>
      </w:r>
    </w:p>
    <w:p>
      <w:r>
        <w:br w:type="page"/>
      </w:r>
    </w:p>
    <w:p>
      <w:pPr>
        <w:pStyle w:val="Heading1"/>
      </w:pPr>
      <w:r>
        <w:t>6. Security and compliance</w:t>
      </w:r>
    </w:p>
    <w:p>
      <w:r>
        <w:rPr>
          <w:b w:val="0"/>
          <w:i w:val="0"/>
        </w:rPr>
        <w:t>Data residency in India; CERT-In incident reporting within 6 hours; DPDP Act 2023 obligations as a processor.</w:t>
      </w:r>
    </w:p>
    <w:p>
      <w:r>
        <w:br w:type="page"/>
      </w:r>
    </w:p>
    <w:p>
      <w:pPr>
        <w:pStyle w:val="Heading1"/>
      </w:pPr>
      <w:r>
        <w:t>7. Staffing</w:t>
      </w:r>
    </w:p>
    <w:p>
      <w:r>
        <w:rPr>
          <w:b w:val="0"/>
          <w:i w:val="0"/>
        </w:rPr>
        <w:t>Cloud architect, DevOps lead, 8 migration engineers, 4 operations engineers, project manager.</w:t>
      </w:r>
    </w:p>
    <w:p>
      <w:pPr>
        <w:pStyle w:val="Heading1"/>
      </w:pPr>
      <w:r>
        <w:t>Landing zone design</w:t>
      </w:r>
    </w:p>
    <w:p>
      <w:r>
        <w:rPr>
          <w:b w:val="0"/>
          <w:i w:val="0"/>
        </w:rPr>
        <w:t>The landing zone separates production, non-production and shared services into distinct projects or accounts with central networking, identity, logging and policy guardrails. Policies are written as code and enforced at provisioning time.</w:t>
      </w:r>
    </w:p>
    <w:p>
      <w:pPr>
        <w:pStyle w:val="ListBullet"/>
      </w:pPr>
      <w:r>
        <w:t>Identity federation with the client directory and least-privilege roles</w:t>
      </w:r>
    </w:p>
    <w:p>
      <w:pPr>
        <w:pStyle w:val="ListBullet"/>
      </w:pPr>
      <w:r>
        <w:t>Central egress with inspection</w:t>
      </w:r>
    </w:p>
    <w:p>
      <w:pPr>
        <w:pStyle w:val="ListBullet"/>
      </w:pPr>
      <w:r>
        <w:t>Logs retained in India for 180 days</w:t>
      </w:r>
    </w:p>
    <w:p>
      <w:pPr>
        <w:pStyle w:val="ListBullet"/>
      </w:pPr>
      <w:r>
        <w:t>Tagging policy for cost allocation</w:t>
      </w:r>
    </w:p>
    <w:p>
      <w:pPr>
        <w:pStyle w:val="Heading1"/>
      </w:pPr>
      <w:r>
        <w:t>Migration factory</w:t>
      </w:r>
    </w:p>
    <w:p>
      <w:r>
        <w:rPr>
          <w:b w:val="0"/>
          <w:i w:val="0"/>
        </w:rPr>
        <w:t>Workloads are grouped into waves by dependency and criticality. For each wave the team runs discovery, dependency mapping, a re-host or re-platform decision, a test migration, a cut-over plan approved by the application owner, and hypercare.</w:t>
      </w:r>
    </w:p>
    <w:p>
      <w:r>
        <w:rPr>
          <w:b w:val="0"/>
          <w:i w:val="0"/>
        </w:rPr>
        <w:t>A wave typically contains 10 to 15 workloads and takes three to four weeks.</w:t>
      </w:r>
    </w:p>
    <w:p>
      <w:pPr>
        <w:pStyle w:val="Heading1"/>
      </w:pPr>
      <w:r>
        <w:t>Cloud operations and FinOps</w:t>
      </w:r>
    </w:p>
    <w:p>
      <w:r>
        <w:rPr>
          <w:b w:val="0"/>
          <w:i w:val="0"/>
        </w:rPr>
        <w:t>Operations use the same ITSM processes as on-premise. Monthly cost reports show spend by department and recommendations for rightsizing and scheduling.</w:t>
      </w:r>
    </w:p>
    <w:p>
      <w:pPr>
        <w:pStyle w:val="Heading1"/>
      </w:pPr>
      <w:r>
        <w:t>Security operations</w:t>
      </w:r>
    </w:p>
    <w:p>
      <w:r>
        <w:rPr>
          <w:b w:val="0"/>
          <w:i w:val="0"/>
        </w:rPr>
        <w:t>Security monitoring uses the client's SIEM. L1 analysts triage alerts against runbooks; L2 analysts investigate, contain and escalate confirmed incidents to the client within the contracted time. Use cases are tuned every month to reduce false positives.</w:t>
      </w:r>
    </w:p>
    <w:p>
      <w:r>
        <w:rPr>
          <w:b w:val="0"/>
          <w:i w:val="0"/>
        </w:rPr>
        <w:t>Vulnerability findings from scans and audits are tracked to closure in the ITSM tool with due dates by severity. Privileged access is only through the client's PAM solution, and sessions are recorded.</w:t>
      </w:r>
    </w:p>
    <w:p>
      <w:r>
        <w:rPr>
          <w:b w:val="0"/>
          <w:i w:val="0"/>
        </w:rPr>
        <w:t>Cyber incidents covered by the CERT-In Directions are reported within 6 hours of being noticed, and the client is informed first so that it can meet its own obligations.</w:t>
      </w:r>
    </w:p>
    <w:p>
      <w:r>
        <w:br w:type="page"/>
      </w:r>
    </w:p>
    <w:p>
      <w:pPr>
        <w:pStyle w:val="Heading1"/>
      </w:pPr>
      <w:r>
        <w:t>Governance structure</w:t>
      </w:r>
    </w:p>
    <w:p>
      <w:r>
        <w:rPr>
          <w:b w:val="0"/>
          <w:i w:val="0"/>
        </w:rPr>
        <w:t>A three-tier governance model: (1) a steering committee chaired by the client and attended by the Nimbus VP - Public Sector Business, meeting quarterly; (2) a monthly service review chaired by the client's nodal officer with the Nimbus project manager; (3) daily operations calls between shift in-charges and client IT staff.</w:t>
      </w:r>
    </w:p>
    <w:p>
      <w:pPr>
        <w:pStyle w:val="ListBullet"/>
      </w:pPr>
      <w:r>
        <w:t>Escalation matrix with names and response times for each level</w:t>
      </w:r>
    </w:p>
    <w:p>
      <w:pPr>
        <w:pStyle w:val="ListBullet"/>
      </w:pPr>
      <w:r>
        <w:t>Minutes and action logs maintained in the ITSM tool</w:t>
      </w:r>
    </w:p>
    <w:p>
      <w:pPr>
        <w:pStyle w:val="ListBullet"/>
      </w:pPr>
      <w:r>
        <w:t>Quarterly service improvement plan</w:t>
      </w:r>
    </w:p>
    <w:p>
      <w:pPr>
        <w:pStyle w:val="Heading1"/>
      </w:pPr>
      <w:r>
        <w:t>Service level commitments</w:t>
      </w:r>
    </w:p>
    <w:p>
      <w:r>
        <w:rPr>
          <w:b w:val="0"/>
          <w:i w:val="0"/>
        </w:rPr>
        <w:t>Nimbus commits to the service levels in the client's RFP. Nimbus does not offer service levels beyond the RFP unless they are priced and evidenced.</w:t>
      </w:r>
    </w:p>
    <w:tbl>
      <w:tblPr>
        <w:tblStyle w:val="TableGrid"/>
        <w:tblW w:type="auto" w:w="0"/>
        <w:tblLook w:firstColumn="1" w:firstRow="1" w:lastColumn="0" w:lastRow="0" w:noHBand="0" w:noVBand="1" w:val="04A0"/>
      </w:tblPr>
      <w:tblGrid>
        <w:gridCol w:w="4873"/>
        <w:gridCol w:w="4873"/>
      </w:tblGrid>
      <w:tr>
        <w:tc>
          <w:tcPr>
            <w:tcW w:type="dxa" w:w="4873"/>
            <w:shd w:val="clear" w:color="auto" w:fill="F6EFE2"/>
          </w:tcPr>
          <w:p>
            <w:r>
              <w:rPr>
                <w:b/>
                <w:sz w:val="18"/>
              </w:rPr>
              <w:t>Parameter</w:t>
            </w:r>
          </w:p>
        </w:tc>
        <w:tc>
          <w:tcPr>
            <w:tcW w:type="dxa" w:w="4873"/>
            <w:shd w:val="clear" w:color="auto" w:fill="F6EFE2"/>
          </w:tcPr>
          <w:p>
            <w:r>
              <w:rPr>
                <w:b/>
                <w:sz w:val="18"/>
              </w:rPr>
              <w:t>Commitment</w:t>
            </w:r>
          </w:p>
        </w:tc>
      </w:tr>
      <w:tr>
        <w:tc>
          <w:tcPr>
            <w:tcW w:type="dxa" w:w="4873"/>
          </w:tcPr>
          <w:p>
            <w:r>
              <w:rPr>
                <w:sz w:val="18"/>
              </w:rPr>
              <w:t>Infrastructure availability</w:t>
            </w:r>
          </w:p>
        </w:tc>
        <w:tc>
          <w:tcPr>
            <w:tcW w:type="dxa" w:w="4873"/>
          </w:tcPr>
          <w:p>
            <w:r>
              <w:rPr>
                <w:sz w:val="18"/>
              </w:rPr>
              <w:t>As per RFP SLA</w:t>
            </w:r>
          </w:p>
        </w:tc>
      </w:tr>
      <w:tr>
        <w:tc>
          <w:tcPr>
            <w:tcW w:type="dxa" w:w="4873"/>
          </w:tcPr>
          <w:p>
            <w:r>
              <w:rPr>
                <w:sz w:val="18"/>
              </w:rPr>
              <w:t>P1 response / resolution</w:t>
            </w:r>
          </w:p>
        </w:tc>
        <w:tc>
          <w:tcPr>
            <w:tcW w:type="dxa" w:w="4873"/>
          </w:tcPr>
          <w:p>
            <w:r>
              <w:rPr>
                <w:sz w:val="18"/>
              </w:rPr>
              <w:t>As per RFP SLA</w:t>
            </w:r>
          </w:p>
        </w:tc>
      </w:tr>
      <w:tr>
        <w:tc>
          <w:tcPr>
            <w:tcW w:type="dxa" w:w="4873"/>
          </w:tcPr>
          <w:p>
            <w:r>
              <w:rPr>
                <w:sz w:val="18"/>
              </w:rPr>
              <w:t>Monthly SLA report</w:t>
            </w:r>
          </w:p>
        </w:tc>
        <w:tc>
          <w:tcPr>
            <w:tcW w:type="dxa" w:w="4873"/>
          </w:tcPr>
          <w:p>
            <w:r>
              <w:rPr>
                <w:sz w:val="18"/>
              </w:rPr>
              <w:t>By the 7th of the following month</w:t>
            </w:r>
          </w:p>
        </w:tc>
      </w:tr>
      <w:tr>
        <w:tc>
          <w:tcPr>
            <w:tcW w:type="dxa" w:w="4873"/>
          </w:tcPr>
          <w:p>
            <w:r>
              <w:rPr>
                <w:sz w:val="18"/>
              </w:rPr>
              <w:t>Root cause analysis for P1</w:t>
            </w:r>
          </w:p>
        </w:tc>
        <w:tc>
          <w:tcPr>
            <w:tcW w:type="dxa" w:w="4873"/>
          </w:tcPr>
          <w:p>
            <w:r>
              <w:rPr>
                <w:sz w:val="18"/>
              </w:rPr>
              <w:t>Within 5 working days</w:t>
            </w:r>
          </w:p>
        </w:tc>
      </w:tr>
    </w:tbl>
    <w:p/>
    <w:p>
      <w:pPr>
        <w:pStyle w:val="Heading1"/>
      </w:pPr>
      <w:r>
        <w:t>Risk register (top risks and mitigations)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F6EFE2"/>
          </w:tcPr>
          <w:p>
            <w:r>
              <w:rPr>
                <w:b/>
                <w:sz w:val="18"/>
              </w:rPr>
              <w:t>Risk</w:t>
            </w:r>
          </w:p>
        </w:tc>
        <w:tc>
          <w:tcPr>
            <w:tcW w:type="dxa" w:w="3249"/>
            <w:shd w:val="clear" w:color="auto" w:fill="F6EFE2"/>
          </w:tcPr>
          <w:p>
            <w:r>
              <w:rPr>
                <w:b/>
                <w:sz w:val="18"/>
              </w:rPr>
              <w:t>Mitigation</w:t>
            </w:r>
          </w:p>
        </w:tc>
        <w:tc>
          <w:tcPr>
            <w:tcW w:type="dxa" w:w="3249"/>
            <w:shd w:val="clear" w:color="auto" w:fill="F6EFE2"/>
          </w:tcPr>
          <w:p>
            <w:r>
              <w:rPr>
                <w:b/>
                <w:sz w:val="18"/>
              </w:rPr>
              <w:t>Owner</w:t>
            </w:r>
          </w:p>
        </w:tc>
      </w:tr>
      <w:tr>
        <w:tc>
          <w:tcPr>
            <w:tcW w:type="dxa" w:w="3249"/>
          </w:tcPr>
          <w:p>
            <w:r>
              <w:rPr>
                <w:sz w:val="18"/>
              </w:rPr>
              <w:t>Incomplete knowledge transfer from incumbent</w:t>
            </w:r>
          </w:p>
        </w:tc>
        <w:tc>
          <w:tcPr>
            <w:tcW w:type="dxa" w:w="3249"/>
          </w:tcPr>
          <w:p>
            <w:r>
              <w:rPr>
                <w:sz w:val="18"/>
              </w:rPr>
              <w:t>Structured KT plan, shadowing, CMDB rebuild from discovery</w:t>
            </w:r>
          </w:p>
        </w:tc>
        <w:tc>
          <w:tcPr>
            <w:tcW w:type="dxa" w:w="3249"/>
          </w:tcPr>
          <w:p>
            <w:r>
              <w:rPr>
                <w:sz w:val="18"/>
              </w:rPr>
              <w:t>Project Manager</w:t>
            </w:r>
          </w:p>
        </w:tc>
      </w:tr>
      <w:tr>
        <w:tc>
          <w:tcPr>
            <w:tcW w:type="dxa" w:w="3249"/>
          </w:tcPr>
          <w:p>
            <w:r>
              <w:rPr>
                <w:sz w:val="18"/>
              </w:rPr>
              <w:t>Key personnel attrition</w:t>
            </w:r>
          </w:p>
        </w:tc>
        <w:tc>
          <w:tcPr>
            <w:tcW w:type="dxa" w:w="3249"/>
          </w:tcPr>
          <w:p>
            <w:r>
              <w:rPr>
                <w:sz w:val="18"/>
              </w:rPr>
              <w:t>Named back-ups, retention bonus, 30-day overlap for replacements</w:t>
            </w:r>
          </w:p>
        </w:tc>
        <w:tc>
          <w:tcPr>
            <w:tcW w:type="dxa" w:w="3249"/>
          </w:tcPr>
          <w:p>
            <w:r>
              <w:rPr>
                <w:sz w:val="18"/>
              </w:rPr>
              <w:t>Delivery Head</w:t>
            </w:r>
          </w:p>
        </w:tc>
      </w:tr>
      <w:tr>
        <w:tc>
          <w:tcPr>
            <w:tcW w:type="dxa" w:w="3249"/>
          </w:tcPr>
          <w:p>
            <w:r>
              <w:rPr>
                <w:sz w:val="18"/>
              </w:rPr>
              <w:t>OEM support delays</w:t>
            </w:r>
          </w:p>
        </w:tc>
        <w:tc>
          <w:tcPr>
            <w:tcW w:type="dxa" w:w="3249"/>
          </w:tcPr>
          <w:p>
            <w:r>
              <w:rPr>
                <w:sz w:val="18"/>
              </w:rPr>
              <w:t>Back-to-back support agreements, escalation contacts at OEMs</w:t>
            </w:r>
          </w:p>
        </w:tc>
        <w:tc>
          <w:tcPr>
            <w:tcW w:type="dxa" w:w="3249"/>
          </w:tcPr>
          <w:p>
            <w:r>
              <w:rPr>
                <w:sz w:val="18"/>
              </w:rPr>
              <w:t>DC Operations Lead</w:t>
            </w:r>
          </w:p>
        </w:tc>
      </w:tr>
      <w:tr>
        <w:tc>
          <w:tcPr>
            <w:tcW w:type="dxa" w:w="3249"/>
          </w:tcPr>
          <w:p>
            <w:r>
              <w:rPr>
                <w:sz w:val="18"/>
              </w:rPr>
              <w:t>Security incident</w:t>
            </w:r>
          </w:p>
        </w:tc>
        <w:tc>
          <w:tcPr>
            <w:tcW w:type="dxa" w:w="3249"/>
          </w:tcPr>
          <w:p>
            <w:r>
              <w:rPr>
                <w:sz w:val="18"/>
              </w:rPr>
              <w:t>24x7 monitoring, CERT-In reporting in 6 hours, incident playbooks</w:t>
            </w:r>
          </w:p>
        </w:tc>
        <w:tc>
          <w:tcPr>
            <w:tcW w:type="dxa" w:w="3249"/>
          </w:tcPr>
          <w:p>
            <w:r>
              <w:rPr>
                <w:sz w:val="18"/>
              </w:rPr>
              <w:t>Security Lead</w:t>
            </w:r>
          </w:p>
        </w:tc>
      </w:tr>
      <w:tr>
        <w:tc>
          <w:tcPr>
            <w:tcW w:type="dxa" w:w="3249"/>
          </w:tcPr>
          <w:p>
            <w:r>
              <w:rPr>
                <w:sz w:val="18"/>
              </w:rPr>
              <w:t>Scope creep</w:t>
            </w:r>
          </w:p>
        </w:tc>
        <w:tc>
          <w:tcPr>
            <w:tcW w:type="dxa" w:w="3249"/>
          </w:tcPr>
          <w:p>
            <w:r>
              <w:rPr>
                <w:sz w:val="18"/>
              </w:rPr>
              <w:t>Change control through CAB and contract change notes</w:t>
            </w:r>
          </w:p>
        </w:tc>
        <w:tc>
          <w:tcPr>
            <w:tcW w:type="dxa" w:w="3249"/>
          </w:tcPr>
          <w:p>
            <w:r>
              <w:rPr>
                <w:sz w:val="18"/>
              </w:rPr>
              <w:t>Project Manager</w:t>
            </w:r>
          </w:p>
        </w:tc>
      </w:tr>
    </w:tbl>
    <w:p/>
    <w:p>
      <w:pPr>
        <w:pStyle w:val="Heading1"/>
      </w:pPr>
      <w:r>
        <w:t>Quality assurance</w:t>
      </w:r>
    </w:p>
    <w:p>
      <w:r>
        <w:rPr>
          <w:b w:val="0"/>
          <w:i w:val="0"/>
        </w:rPr>
        <w:t>Engagement quality plan within 30 days of Go-Live; internal quality audits twice a year; customer satisfaction survey every quarter; corrective actions for every SLA breach.</w:t>
      </w:r>
    </w:p>
    <w:p>
      <w:pPr>
        <w:pStyle w:val="Heading1"/>
      </w:pPr>
      <w:r>
        <w:t>Exit management</w:t>
      </w:r>
    </w:p>
    <w:p>
      <w:r>
        <w:rPr>
          <w:b w:val="0"/>
          <w:i w:val="0"/>
        </w:rPr>
        <w:t>Exit plan within 90 days of Go-Live, updated yearly; six months of exit support with knowledge transfer, documentation, configurations and credentials handed over.</w:t>
      </w:r>
    </w:p>
    <w:p>
      <w:pPr>
        <w:pStyle w:val="Heading1"/>
      </w:pPr>
      <w:r>
        <w:t>Assumptions</w:t>
      </w:r>
    </w:p>
    <w:p>
      <w:r>
        <w:rPr>
          <w:b w:val="0"/>
          <w:i w:val="0"/>
        </w:rPr>
        <w:t>Client provides workspace, access, and timely approvals for changes.</w:t>
      </w:r>
    </w:p>
    <w:p>
      <w:r>
        <w:rPr>
          <w:b w:val="0"/>
          <w:i w:val="0"/>
        </w:rPr>
        <w:t>Facility management (power, cooling) is provided by the client's facility agency.</w:t>
      </w:r>
    </w:p>
    <w:p>
      <w:r>
        <w:rPr>
          <w:b w:val="0"/>
          <w:i w:val="0"/>
        </w:rPr>
        <w:t>Prices and staffing as of 2024; to be revalidated for any reuse.</w:t>
      </w:r>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color w:val="6B4423"/>
        <w:sz w:val="15"/>
      </w:rPr>
      <w:t>SYNTHETIC - FICTIONAL DEMO DATA FOR TENDERBRIDGE - NOT A REAL COMPANY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Nimbus Digital Services Pvt. Ltd. (fictional company) | KB-PP-002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Hybrid Cloud Migration for Central Agricultural Data Mission (2024)</dc:title>
  <dc:subject/>
  <dc:creator>Nimbus Digital Services Pvt. Ltd. (synthetic)</dc:creator>
  <cp:keywords>synthetic, fictional, TenderBridge demo</cp:keywords>
  <dc:description>SYNTHETIC - FICTIONAL DEMO DATA FOR TENDERBRIDGE - NOT A REAL COMPANY RECORD</dc:description>
  <cp:lastModifiedBy/>
  <cp:revision>1</cp:revision>
  <dcterms:created xsi:type="dcterms:W3CDTF">2013-12-23T23:15:00Z</dcterms:created>
  <dcterms:modified xsi:type="dcterms:W3CDTF">2013-12-23T23:15:00Z</dcterms:modified>
  <cp:category/>
</cp:coreProperties>
</file>