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 O&amp;M of Konkan State Data Centre (2020)</w:t>
      </w:r>
    </w:p>
    <w:p>
      <w:r>
        <w:rPr>
          <w:i/>
        </w:rPr>
        <w:t>Client: Konkan State IT Society (fictional) | Year: 2020 | Result: WON | Synthetic past proposal for the TenderBridge demo</w:t>
      </w:r>
    </w:p>
    <w:tbl>
      <w:tblPr>
        <w:tblStyle w:val="TableGrid"/>
        <w:tblW w:type="auto" w:w="0"/>
        <w:tblLook w:firstColumn="1" w:firstRow="1" w:lastColumn="0" w:lastRow="0" w:noHBand="0" w:noVBand="1" w:val="04A0"/>
      </w:tblPr>
      <w:tblGrid>
        <w:gridCol w:w="4873"/>
        <w:gridCol w:w="4873"/>
      </w:tblGrid>
      <w:tr>
        <w:tc>
          <w:tcPr>
            <w:tcW w:type="dxa" w:w="4873"/>
            <w:shd w:val="clear" w:color="auto" w:fill="F6EFE2"/>
          </w:tcPr>
          <w:p>
            <w:r>
              <w:rPr>
                <w:b/>
                <w:sz w:val="18"/>
              </w:rPr>
              <w:t>Metadata</w:t>
            </w:r>
          </w:p>
        </w:tc>
        <w:tc>
          <w:tcPr>
            <w:tcW w:type="dxa" w:w="4873"/>
            <w:shd w:val="clear" w:color="auto" w:fill="F6EFE2"/>
          </w:tcPr>
          <w:p>
            <w:r>
              <w:rPr>
                <w:b/>
                <w:sz w:val="18"/>
              </w:rPr>
              <w:t>Value</w:t>
            </w:r>
          </w:p>
        </w:tc>
      </w:tr>
      <w:tr>
        <w:tc>
          <w:tcPr>
            <w:tcW w:type="dxa" w:w="4873"/>
          </w:tcPr>
          <w:p>
            <w:r>
              <w:rPr>
                <w:sz w:val="18"/>
              </w:rPr>
              <w:t>Document ID</w:t>
            </w:r>
          </w:p>
        </w:tc>
        <w:tc>
          <w:tcPr>
            <w:tcW w:type="dxa" w:w="4873"/>
          </w:tcPr>
          <w:p>
            <w:r>
              <w:rPr>
                <w:sz w:val="18"/>
              </w:rPr>
              <w:t>KB-PP-001</w:t>
            </w:r>
          </w:p>
        </w:tc>
      </w:tr>
      <w:tr>
        <w:tc>
          <w:tcPr>
            <w:tcW w:type="dxa" w:w="4873"/>
          </w:tcPr>
          <w:p>
            <w:r>
              <w:rPr>
                <w:sz w:val="18"/>
              </w:rPr>
              <w:t>Client (fictional)</w:t>
            </w:r>
          </w:p>
        </w:tc>
        <w:tc>
          <w:tcPr>
            <w:tcW w:type="dxa" w:w="4873"/>
          </w:tcPr>
          <w:p>
            <w:r>
              <w:rPr>
                <w:sz w:val="18"/>
              </w:rPr>
              <w:t>Konkan State IT Society (fictional)</w:t>
            </w:r>
          </w:p>
        </w:tc>
      </w:tr>
      <w:tr>
        <w:tc>
          <w:tcPr>
            <w:tcW w:type="dxa" w:w="4873"/>
          </w:tcPr>
          <w:p>
            <w:r>
              <w:rPr>
                <w:sz w:val="18"/>
              </w:rPr>
              <w:t>Year</w:t>
            </w:r>
          </w:p>
        </w:tc>
        <w:tc>
          <w:tcPr>
            <w:tcW w:type="dxa" w:w="4873"/>
          </w:tcPr>
          <w:p>
            <w:r>
              <w:rPr>
                <w:sz w:val="18"/>
              </w:rPr>
              <w:t>2020</w:t>
            </w:r>
          </w:p>
        </w:tc>
      </w:tr>
      <w:tr>
        <w:tc>
          <w:tcPr>
            <w:tcW w:type="dxa" w:w="4873"/>
          </w:tcPr>
          <w:p>
            <w:r>
              <w:rPr>
                <w:sz w:val="18"/>
              </w:rPr>
              <w:t>Result</w:t>
            </w:r>
          </w:p>
        </w:tc>
        <w:tc>
          <w:tcPr>
            <w:tcW w:type="dxa" w:w="4873"/>
          </w:tcPr>
          <w:p>
            <w:r>
              <w:rPr>
                <w:sz w:val="18"/>
              </w:rPr>
              <w:t>won</w:t>
            </w:r>
          </w:p>
        </w:tc>
      </w:tr>
      <w:tr>
        <w:tc>
          <w:tcPr>
            <w:tcW w:type="dxa" w:w="4873"/>
          </w:tcPr>
          <w:p>
            <w:r>
              <w:rPr>
                <w:sz w:val="18"/>
              </w:rPr>
              <w:t>Topic tags</w:t>
            </w:r>
          </w:p>
        </w:tc>
        <w:tc>
          <w:tcPr>
            <w:tcW w:type="dxa" w:w="4873"/>
          </w:tcPr>
          <w:p>
            <w:r>
              <w:rPr>
                <w:sz w:val="18"/>
              </w:rPr>
              <w:t>state data centre, O&amp;M, transition, ITIL, SLA, security operations</w:t>
            </w:r>
          </w:p>
        </w:tc>
      </w:tr>
      <w:tr>
        <w:tc>
          <w:tcPr>
            <w:tcW w:type="dxa" w:w="4873"/>
          </w:tcPr>
          <w:p>
            <w:r>
              <w:rPr>
                <w:sz w:val="18"/>
              </w:rPr>
              <w:t>Approved for reuse</w:t>
            </w:r>
          </w:p>
        </w:tc>
        <w:tc>
          <w:tcPr>
            <w:tcW w:type="dxa" w:w="4873"/>
          </w:tcPr>
          <w:p>
            <w:r>
              <w:rPr>
                <w:sz w:val="18"/>
              </w:rPr>
              <w:t>Yes</w:t>
            </w:r>
          </w:p>
        </w:tc>
      </w:tr>
    </w:tbl>
    <w:p/>
    <w:p>
      <w:r>
        <w:br w:type="page"/>
      </w:r>
    </w:p>
    <w:p>
      <w:pPr>
        <w:pStyle w:val="Heading1"/>
      </w:pPr>
      <w:r>
        <w:t>1. Executive summary</w:t>
      </w:r>
    </w:p>
    <w:p>
      <w:r>
        <w:rPr>
          <w:b w:val="0"/>
          <w:i w:val="0"/>
        </w:rPr>
        <w:t>Nimbus proposes to operate the Konkan State Data Centre for five years with a 38-member onsite team, an ITIL 4-aligned process framework and the OpsCentral tool stack, backed by our Pune remote NOC.</w:t>
      </w:r>
    </w:p>
    <w:p>
      <w:r>
        <w:rPr>
          <w:b w:val="0"/>
          <w:i w:val="0"/>
        </w:rPr>
        <w:t>We will take over within 90 days without service disruption, and we will report every SLA from tool data, not from spreadsheets.</w:t>
      </w:r>
    </w:p>
    <w:p>
      <w:r>
        <w:br w:type="page"/>
      </w:r>
    </w:p>
    <w:p>
      <w:pPr>
        <w:pStyle w:val="Heading1"/>
      </w:pPr>
      <w:r>
        <w:t>2. Understanding of scope</w:t>
      </w:r>
    </w:p>
    <w:p>
      <w:r>
        <w:rPr>
          <w:b w:val="0"/>
          <w:i w:val="0"/>
        </w:rPr>
        <w:t>The data centre hosts 120 applications of 41 departments on 310 physical servers. The client's priorities are availability, transparent SLA reporting and security monitoring.</w:t>
      </w:r>
    </w:p>
    <w:p>
      <w:r>
        <w:br w:type="page"/>
      </w:r>
    </w:p>
    <w:p>
      <w:pPr>
        <w:pStyle w:val="Heading1"/>
      </w:pPr>
      <w:r>
        <w:t>3. O&amp;M approach and methodology</w:t>
      </w:r>
    </w:p>
    <w:p>
      <w:r>
        <w:rPr>
          <w:b w:val="0"/>
          <w:i w:val="0"/>
        </w:rPr>
        <w:t>Our O&amp;M approach rests on three ideas: measure everything in the ITSM tool, never let an alert go unowned, and make the client's SLA dashboard the single source of truth.</w:t>
      </w:r>
    </w:p>
    <w:p>
      <w:pPr>
        <w:pStyle w:val="ListBullet"/>
      </w:pPr>
      <w:r>
        <w:t>Tower-based teams (compute, storage and backup, network, security) with a single shift in-charge per shift</w:t>
      </w:r>
    </w:p>
    <w:p>
      <w:pPr>
        <w:pStyle w:val="ListBullet"/>
      </w:pPr>
      <w:r>
        <w:t>Auto-ticketing from EMS/NMS alerts with priority assigned by a matrix agreed in the first month</w:t>
      </w:r>
    </w:p>
    <w:p>
      <w:pPr>
        <w:pStyle w:val="ListBullet"/>
      </w:pPr>
      <w:r>
        <w:t>Weekly change advisory board; no production change without an approved change record</w:t>
      </w:r>
    </w:p>
    <w:p>
      <w:pPr>
        <w:pStyle w:val="ListBullet"/>
      </w:pPr>
      <w:r>
        <w:t>Monthly capacity report with utilisation trends; quarterly capacity plan</w:t>
      </w:r>
    </w:p>
    <w:p>
      <w:pPr>
        <w:pStyle w:val="ListBullet"/>
      </w:pPr>
      <w:r>
        <w:t>Problem management with root cause analysis for every P1 within 5 working days</w:t>
      </w:r>
    </w:p>
    <w:p>
      <w:r>
        <w:br w:type="page"/>
      </w:r>
    </w:p>
    <w:p>
      <w:pPr>
        <w:pStyle w:val="Heading1"/>
      </w:pPr>
      <w:r>
        <w:t>4. Transition plan</w:t>
      </w:r>
    </w:p>
    <w:p>
      <w:r>
        <w:rPr>
          <w:b w:val="0"/>
          <w:i w:val="0"/>
        </w:rPr>
        <w:t>Transition follows the Nimbus methodology (KB-POL-005): inventory verification, knowledge capture, 30 days of shadowing and 15 days of reverse shadowing, then a readiness review with the client.</w:t>
      </w:r>
    </w:p>
    <w:tbl>
      <w:tblPr>
        <w:tblStyle w:val="TableGrid"/>
        <w:tblW w:type="auto" w:w="0"/>
        <w:tblLook w:firstColumn="1" w:firstRow="1" w:lastColumn="0" w:lastRow="0" w:noHBand="0" w:noVBand="1" w:val="04A0"/>
      </w:tblPr>
      <w:tblGrid>
        <w:gridCol w:w="4873"/>
        <w:gridCol w:w="4873"/>
      </w:tblGrid>
      <w:tr>
        <w:tc>
          <w:tcPr>
            <w:tcW w:type="dxa" w:w="4873"/>
            <w:shd w:val="clear" w:color="auto" w:fill="F6EFE2"/>
          </w:tcPr>
          <w:p>
            <w:r>
              <w:rPr>
                <w:b/>
                <w:sz w:val="18"/>
              </w:rPr>
              <w:t>Week</w:t>
            </w:r>
          </w:p>
        </w:tc>
        <w:tc>
          <w:tcPr>
            <w:tcW w:type="dxa" w:w="4873"/>
            <w:shd w:val="clear" w:color="auto" w:fill="F6EFE2"/>
          </w:tcPr>
          <w:p>
            <w:r>
              <w:rPr>
                <w:b/>
                <w:sz w:val="18"/>
              </w:rPr>
              <w:t>Activity</w:t>
            </w:r>
          </w:p>
        </w:tc>
      </w:tr>
      <w:tr>
        <w:tc>
          <w:tcPr>
            <w:tcW w:type="dxa" w:w="4873"/>
          </w:tcPr>
          <w:p>
            <w:r>
              <w:rPr>
                <w:sz w:val="18"/>
              </w:rPr>
              <w:t>1-2</w:t>
            </w:r>
          </w:p>
        </w:tc>
        <w:tc>
          <w:tcPr>
            <w:tcW w:type="dxa" w:w="4873"/>
          </w:tcPr>
          <w:p>
            <w:r>
              <w:rPr>
                <w:sz w:val="18"/>
              </w:rPr>
              <w:t>Mobilise team, access, inventory verification starts</w:t>
            </w:r>
          </w:p>
        </w:tc>
      </w:tr>
      <w:tr>
        <w:tc>
          <w:tcPr>
            <w:tcW w:type="dxa" w:w="4873"/>
          </w:tcPr>
          <w:p>
            <w:r>
              <w:rPr>
                <w:sz w:val="18"/>
              </w:rPr>
              <w:t>3-6</w:t>
            </w:r>
          </w:p>
        </w:tc>
        <w:tc>
          <w:tcPr>
            <w:tcW w:type="dxa" w:w="4873"/>
          </w:tcPr>
          <w:p>
            <w:r>
              <w:rPr>
                <w:sz w:val="18"/>
              </w:rPr>
              <w:t>Knowledge transfer sessions per tower; SOP capture</w:t>
            </w:r>
          </w:p>
        </w:tc>
      </w:tr>
      <w:tr>
        <w:tc>
          <w:tcPr>
            <w:tcW w:type="dxa" w:w="4873"/>
          </w:tcPr>
          <w:p>
            <w:r>
              <w:rPr>
                <w:sz w:val="18"/>
              </w:rPr>
              <w:t>7-10</w:t>
            </w:r>
          </w:p>
        </w:tc>
        <w:tc>
          <w:tcPr>
            <w:tcW w:type="dxa" w:w="4873"/>
          </w:tcPr>
          <w:p>
            <w:r>
              <w:rPr>
                <w:sz w:val="18"/>
              </w:rPr>
              <w:t>Shadowing (incumbent operates, Nimbus observes)</w:t>
            </w:r>
          </w:p>
        </w:tc>
      </w:tr>
      <w:tr>
        <w:tc>
          <w:tcPr>
            <w:tcW w:type="dxa" w:w="4873"/>
          </w:tcPr>
          <w:p>
            <w:r>
              <w:rPr>
                <w:sz w:val="18"/>
              </w:rPr>
              <w:t>11-12</w:t>
            </w:r>
          </w:p>
        </w:tc>
        <w:tc>
          <w:tcPr>
            <w:tcW w:type="dxa" w:w="4873"/>
          </w:tcPr>
          <w:p>
            <w:r>
              <w:rPr>
                <w:sz w:val="18"/>
              </w:rPr>
              <w:t>Reverse shadowing (Nimbus operates, incumbent observes)</w:t>
            </w:r>
          </w:p>
        </w:tc>
      </w:tr>
      <w:tr>
        <w:tc>
          <w:tcPr>
            <w:tcW w:type="dxa" w:w="4873"/>
          </w:tcPr>
          <w:p>
            <w:r>
              <w:rPr>
                <w:sz w:val="18"/>
              </w:rPr>
              <w:t>13</w:t>
            </w:r>
          </w:p>
        </w:tc>
        <w:tc>
          <w:tcPr>
            <w:tcW w:type="dxa" w:w="4873"/>
          </w:tcPr>
          <w:p>
            <w:r>
              <w:rPr>
                <w:sz w:val="18"/>
              </w:rPr>
              <w:t>Readiness review and Go-Live</w:t>
            </w:r>
          </w:p>
        </w:tc>
      </w:tr>
    </w:tbl>
    <w:p/>
    <w:p>
      <w:r>
        <w:br w:type="page"/>
      </w:r>
    </w:p>
    <w:p>
      <w:pPr>
        <w:pStyle w:val="Heading1"/>
      </w:pPr>
      <w:r>
        <w:t>5. Security operations</w:t>
      </w:r>
    </w:p>
    <w:p>
      <w:r>
        <w:rPr>
          <w:b w:val="0"/>
          <w:i w:val="0"/>
        </w:rPr>
        <w:t>L1/L2 monitoring on the client's SIEM, use-case tuning, vulnerability closure tracking and incident escalation within 30 minutes of confirmation.</w:t>
      </w:r>
    </w:p>
    <w:p>
      <w:r>
        <w:rPr>
          <w:b w:val="0"/>
          <w:i w:val="0"/>
        </w:rPr>
        <w:t>Our ISMS is certified to ISO/IEC 27001 (certificate details as current at the time of each bid must be checked).</w:t>
      </w:r>
    </w:p>
    <w:p>
      <w:r>
        <w:br w:type="page"/>
      </w:r>
    </w:p>
    <w:p>
      <w:pPr>
        <w:pStyle w:val="Heading1"/>
      </w:pPr>
      <w:r>
        <w:t>6. Backup and DR</w:t>
      </w:r>
    </w:p>
    <w:p>
      <w:r>
        <w:rPr>
          <w:b w:val="0"/>
          <w:i w:val="0"/>
        </w:rPr>
        <w:t>Backups per the client's policy with monthly restoration tests of a sample of systems. Quarterly DR drills coordinated with the DR site operator.</w:t>
      </w:r>
    </w:p>
    <w:p>
      <w:r>
        <w:br w:type="page"/>
      </w:r>
    </w:p>
    <w:p>
      <w:pPr>
        <w:pStyle w:val="Heading1"/>
      </w:pPr>
      <w:r>
        <w:t>7. Governance and reporting</w:t>
      </w:r>
    </w:p>
    <w:p>
      <w:r>
        <w:rPr>
          <w:b w:val="0"/>
          <w:i w:val="0"/>
        </w:rPr>
        <w:t>Monthly review with the client; SLA report by the 7th of each month; quarterly service improvement plan.</w:t>
      </w:r>
    </w:p>
    <w:p>
      <w:r>
        <w:br w:type="page"/>
      </w:r>
    </w:p>
    <w:p>
      <w:pPr>
        <w:pStyle w:val="Heading1"/>
      </w:pPr>
      <w:r>
        <w:t>8. Staffing</w:t>
      </w:r>
    </w:p>
    <w:tbl>
      <w:tblPr>
        <w:tblStyle w:val="TableGrid"/>
        <w:tblW w:type="auto" w:w="0"/>
        <w:tblLook w:firstColumn="1" w:firstRow="1" w:lastColumn="0" w:lastRow="0" w:noHBand="0" w:noVBand="1" w:val="04A0"/>
      </w:tblPr>
      <w:tblGrid>
        <w:gridCol w:w="4873"/>
        <w:gridCol w:w="4873"/>
      </w:tblGrid>
      <w:tr>
        <w:tc>
          <w:tcPr>
            <w:tcW w:type="dxa" w:w="4873"/>
            <w:shd w:val="clear" w:color="auto" w:fill="F6EFE2"/>
          </w:tcPr>
          <w:p>
            <w:r>
              <w:rPr>
                <w:b/>
                <w:sz w:val="18"/>
              </w:rPr>
              <w:t>Role</w:t>
            </w:r>
          </w:p>
        </w:tc>
        <w:tc>
          <w:tcPr>
            <w:tcW w:type="dxa" w:w="4873"/>
            <w:shd w:val="clear" w:color="auto" w:fill="F6EFE2"/>
          </w:tcPr>
          <w:p>
            <w:r>
              <w:rPr>
                <w:b/>
                <w:sz w:val="18"/>
              </w:rPr>
              <w:t>Number</w:t>
            </w:r>
          </w:p>
        </w:tc>
      </w:tr>
      <w:tr>
        <w:tc>
          <w:tcPr>
            <w:tcW w:type="dxa" w:w="4873"/>
          </w:tcPr>
          <w:p>
            <w:r>
              <w:rPr>
                <w:sz w:val="18"/>
              </w:rPr>
              <w:t>Project Manager</w:t>
            </w:r>
          </w:p>
        </w:tc>
        <w:tc>
          <w:tcPr>
            <w:tcW w:type="dxa" w:w="4873"/>
          </w:tcPr>
          <w:p>
            <w:r>
              <w:rPr>
                <w:sz w:val="18"/>
              </w:rPr>
              <w:t>1</w:t>
            </w:r>
          </w:p>
        </w:tc>
      </w:tr>
      <w:tr>
        <w:tc>
          <w:tcPr>
            <w:tcW w:type="dxa" w:w="4873"/>
          </w:tcPr>
          <w:p>
            <w:r>
              <w:rPr>
                <w:sz w:val="18"/>
              </w:rPr>
              <w:t>DC Operations Lead</w:t>
            </w:r>
          </w:p>
        </w:tc>
        <w:tc>
          <w:tcPr>
            <w:tcW w:type="dxa" w:w="4873"/>
          </w:tcPr>
          <w:p>
            <w:r>
              <w:rPr>
                <w:sz w:val="18"/>
              </w:rPr>
              <w:t>1</w:t>
            </w:r>
          </w:p>
        </w:tc>
      </w:tr>
      <w:tr>
        <w:tc>
          <w:tcPr>
            <w:tcW w:type="dxa" w:w="4873"/>
          </w:tcPr>
          <w:p>
            <w:r>
              <w:rPr>
                <w:sz w:val="18"/>
              </w:rPr>
              <w:t>Shift In-charge</w:t>
            </w:r>
          </w:p>
        </w:tc>
        <w:tc>
          <w:tcPr>
            <w:tcW w:type="dxa" w:w="4873"/>
          </w:tcPr>
          <w:p>
            <w:r>
              <w:rPr>
                <w:sz w:val="18"/>
              </w:rPr>
              <w:t>3</w:t>
            </w:r>
          </w:p>
        </w:tc>
      </w:tr>
      <w:tr>
        <w:tc>
          <w:tcPr>
            <w:tcW w:type="dxa" w:w="4873"/>
          </w:tcPr>
          <w:p>
            <w:r>
              <w:rPr>
                <w:sz w:val="18"/>
              </w:rPr>
              <w:t>L2 engineers</w:t>
            </w:r>
          </w:p>
        </w:tc>
        <w:tc>
          <w:tcPr>
            <w:tcW w:type="dxa" w:w="4873"/>
          </w:tcPr>
          <w:p>
            <w:r>
              <w:rPr>
                <w:sz w:val="18"/>
              </w:rPr>
              <w:t>14</w:t>
            </w:r>
          </w:p>
        </w:tc>
      </w:tr>
      <w:tr>
        <w:tc>
          <w:tcPr>
            <w:tcW w:type="dxa" w:w="4873"/>
          </w:tcPr>
          <w:p>
            <w:r>
              <w:rPr>
                <w:sz w:val="18"/>
              </w:rPr>
              <w:t>L1 operators</w:t>
            </w:r>
          </w:p>
        </w:tc>
        <w:tc>
          <w:tcPr>
            <w:tcW w:type="dxa" w:w="4873"/>
          </w:tcPr>
          <w:p>
            <w:r>
              <w:rPr>
                <w:sz w:val="18"/>
              </w:rPr>
              <w:t>10</w:t>
            </w:r>
          </w:p>
        </w:tc>
      </w:tr>
      <w:tr>
        <w:tc>
          <w:tcPr>
            <w:tcW w:type="dxa" w:w="4873"/>
          </w:tcPr>
          <w:p>
            <w:r>
              <w:rPr>
                <w:sz w:val="18"/>
              </w:rPr>
              <w:t>Helpdesk</w:t>
            </w:r>
          </w:p>
        </w:tc>
        <w:tc>
          <w:tcPr>
            <w:tcW w:type="dxa" w:w="4873"/>
          </w:tcPr>
          <w:p>
            <w:r>
              <w:rPr>
                <w:sz w:val="18"/>
              </w:rPr>
              <w:t>6</w:t>
            </w:r>
          </w:p>
        </w:tc>
      </w:tr>
    </w:tbl>
    <w:p/>
    <w:p>
      <w:r>
        <w:br w:type="page"/>
      </w:r>
    </w:p>
    <w:p>
      <w:pPr>
        <w:pStyle w:val="Heading1"/>
      </w:pPr>
      <w:r>
        <w:t>9. Value additions</w:t>
      </w:r>
    </w:p>
    <w:p>
      <w:r>
        <w:rPr>
          <w:b w:val="0"/>
          <w:i w:val="0"/>
        </w:rPr>
        <w:t>Self-service portal for VM requests; automated patch compliance reports; quarterly security posture review.</w:t>
      </w:r>
    </w:p>
    <w:p>
      <w:pPr>
        <w:pStyle w:val="Heading1"/>
      </w:pPr>
      <w:r>
        <w:t>Compute and virtualisation tower</w:t>
      </w:r>
    </w:p>
    <w:p>
      <w:r>
        <w:rPr>
          <w:b w:val="0"/>
          <w:i w:val="0"/>
        </w:rPr>
        <w:t>The compute tower manages physical servers, hypervisors and guest operating systems. Daily activities include health checks at the start of each shift, review of EMS alerts, capacity checks on clusters, and verification of overnight jobs.</w:t>
      </w:r>
    </w:p>
    <w:p>
      <w:r>
        <w:rPr>
          <w:b w:val="0"/>
          <w:i w:val="0"/>
        </w:rPr>
        <w:t>Patching follows a monthly cycle with an emergency path for critical vulnerabilities: patches are tested in staging, approved by the change advisory board, deployed in waves by application criticality, and verified with post-patch checks. Exceptions are recorded with the client's approval and an expiry date.</w:t>
      </w:r>
    </w:p>
    <w:p>
      <w:pPr>
        <w:pStyle w:val="ListBullet"/>
      </w:pPr>
      <w:r>
        <w:t>Weekly: cluster capacity review, snapshot clean-up, hardware log review</w:t>
      </w:r>
    </w:p>
    <w:p>
      <w:pPr>
        <w:pStyle w:val="ListBullet"/>
      </w:pPr>
      <w:r>
        <w:t>Monthly: patch cycle, compliance report, firmware review with OEMs</w:t>
      </w:r>
    </w:p>
    <w:p>
      <w:pPr>
        <w:pStyle w:val="ListBullet"/>
      </w:pPr>
      <w:r>
        <w:t>Quarterly: capacity plan with 12-month projections, hardening review against CIS benchmarks</w:t>
      </w:r>
    </w:p>
    <w:p>
      <w:r>
        <w:rPr>
          <w:b w:val="0"/>
          <w:i w:val="0"/>
        </w:rPr>
        <w:t>Virtual machine provisioning is delivered through the service catalogue. Standard templates are hardened and versioned; requests outside the templates go through architecture review.</w:t>
      </w:r>
    </w:p>
    <w:p>
      <w:pPr>
        <w:pStyle w:val="Heading1"/>
      </w:pPr>
      <w:r>
        <w:t>Storage and backup tower</w:t>
      </w:r>
    </w:p>
    <w:p>
      <w:r>
        <w:rPr>
          <w:b w:val="0"/>
          <w:i w:val="0"/>
        </w:rPr>
        <w:t>The storage tower provisions block, file and object storage, monitors performance and capacity, and manages replication. Backups run according to the client's approved backup policy; the team checks job status every shift and re-runs failures within the same backup window where possible.</w:t>
      </w:r>
    </w:p>
    <w:p>
      <w:r>
        <w:rPr>
          <w:b w:val="0"/>
          <w:i w:val="0"/>
        </w:rPr>
        <w:t>Restoration tests are run every month on a sample of systems chosen with the client, and every restoration is recorded with the time taken. Tape handling, where used, follows a chain-of-custody register.</w:t>
      </w:r>
    </w:p>
    <w:p>
      <w:pPr>
        <w:pStyle w:val="ListBullet"/>
      </w:pPr>
      <w:r>
        <w:t>Daily: backup success report, failed job analysis</w:t>
      </w:r>
    </w:p>
    <w:p>
      <w:pPr>
        <w:pStyle w:val="ListBullet"/>
      </w:pPr>
      <w:r>
        <w:t>Monthly: restoration tests, capacity trend report</w:t>
      </w:r>
    </w:p>
    <w:p>
      <w:pPr>
        <w:pStyle w:val="ListBullet"/>
      </w:pPr>
      <w:r>
        <w:t>Quarterly: replication health review before DR drills</w:t>
      </w:r>
    </w:p>
    <w:p>
      <w:pPr>
        <w:pStyle w:val="Heading1"/>
      </w:pPr>
      <w:r>
        <w:t>Network and security devices tower</w:t>
      </w:r>
    </w:p>
    <w:p>
      <w:r>
        <w:rPr>
          <w:b w:val="0"/>
          <w:i w:val="0"/>
        </w:rPr>
        <w:t>The network tower manages core and access switches, routers, firewalls, load balancers and security appliances inside the data centre. All changes to firewall rules go through the change process with a business justification and an expiry date for temporary rules.</w:t>
      </w:r>
    </w:p>
    <w:p>
      <w:r>
        <w:rPr>
          <w:b w:val="0"/>
          <w:i w:val="0"/>
        </w:rPr>
        <w:t>Configuration backups of all devices are taken daily and compared with the previous version; unexpected differences raise an alert. Firmware is kept within the OEM's supported versions.</w:t>
      </w:r>
    </w:p>
    <w:p>
      <w:pPr>
        <w:pStyle w:val="ListBullet"/>
      </w:pPr>
      <w:r>
        <w:t>Monthly: firewall rule review, unused rule clean-up</w:t>
      </w:r>
    </w:p>
    <w:p>
      <w:pPr>
        <w:pStyle w:val="ListBullet"/>
      </w:pPr>
      <w:r>
        <w:t>Quarterly: configuration compliance audit</w:t>
      </w:r>
    </w:p>
    <w:p>
      <w:pPr>
        <w:pStyle w:val="ListBullet"/>
      </w:pPr>
      <w:r>
        <w:t>Half-yearly: network architecture review with the client</w:t>
      </w:r>
    </w:p>
    <w:p>
      <w:pPr>
        <w:pStyle w:val="Heading1"/>
      </w:pPr>
      <w:r>
        <w:t>Security operations</w:t>
      </w:r>
    </w:p>
    <w:p>
      <w:r>
        <w:rPr>
          <w:b w:val="0"/>
          <w:i w:val="0"/>
        </w:rPr>
        <w:t>Security monitoring uses the client's SIEM. L1 analysts triage alerts against runbooks; L2 analysts investigate, contain and escalate confirmed incidents to the client within the contracted time. Use cases are tuned every month to reduce false positives.</w:t>
      </w:r>
    </w:p>
    <w:p>
      <w:r>
        <w:rPr>
          <w:b w:val="0"/>
          <w:i w:val="0"/>
        </w:rPr>
        <w:t>Vulnerability findings from scans and audits are tracked to closure in the ITSM tool with due dates by severity. Privileged access is only through the client's PAM solution, and sessions are recorded.</w:t>
      </w:r>
    </w:p>
    <w:p>
      <w:r>
        <w:rPr>
          <w:b w:val="0"/>
          <w:i w:val="0"/>
        </w:rPr>
        <w:t>Cyber incidents covered by the CERT-In Directions are reported within 6 hours of being noticed, and the client is informed first so that it can meet its own obligations.</w:t>
      </w:r>
    </w:p>
    <w:p>
      <w:pPr>
        <w:pStyle w:val="Heading1"/>
      </w:pPr>
      <w:r>
        <w:t>Service desk</w:t>
      </w:r>
    </w:p>
    <w:p>
      <w:r>
        <w:rPr>
          <w:b w:val="0"/>
          <w:i w:val="0"/>
        </w:rPr>
        <w:t>The service desk is the single point of contact for departments. Calls, e-mails and portal requests create tickets automatically. Agents resolve standard requests using the knowledge base and route others to resolver groups.</w:t>
      </w:r>
    </w:p>
    <w:p>
      <w:pPr>
        <w:pStyle w:val="ListBullet"/>
      </w:pPr>
      <w:r>
        <w:t>Toll-free number, e-mail and self-service portal</w:t>
      </w:r>
    </w:p>
    <w:p>
      <w:pPr>
        <w:pStyle w:val="ListBullet"/>
      </w:pPr>
      <w:r>
        <w:t>Priority assigned by impact and urgency</w:t>
      </w:r>
    </w:p>
    <w:p>
      <w:pPr>
        <w:pStyle w:val="ListBullet"/>
      </w:pPr>
      <w:r>
        <w:t>Customer satisfaction survey on ticket closure and quarterly</w:t>
      </w:r>
    </w:p>
    <w:p>
      <w:r>
        <w:br w:type="page"/>
      </w:r>
    </w:p>
    <w:p>
      <w:pPr>
        <w:pStyle w:val="Heading1"/>
      </w:pPr>
      <w:r>
        <w:t>Governance structure</w:t>
      </w:r>
    </w:p>
    <w:p>
      <w:r>
        <w:rPr>
          <w:b w:val="0"/>
          <w:i w:val="0"/>
        </w:rPr>
        <w:t>A three-tier governance model: (1) a steering committee chaired by the client and attended by the Nimbus VP - Public Sector Business, meeting quarterly; (2) a monthly service review chaired by the client's nodal officer with the Nimbus project manager; (3) daily operations calls between shift in-charges and client IT staff.</w:t>
      </w:r>
    </w:p>
    <w:p>
      <w:pPr>
        <w:pStyle w:val="ListBullet"/>
      </w:pPr>
      <w:r>
        <w:t>Escalation matrix with names and response times for each level</w:t>
      </w:r>
    </w:p>
    <w:p>
      <w:pPr>
        <w:pStyle w:val="ListBullet"/>
      </w:pPr>
      <w:r>
        <w:t>Minutes and action logs maintained in the ITSM tool</w:t>
      </w:r>
    </w:p>
    <w:p>
      <w:pPr>
        <w:pStyle w:val="ListBullet"/>
      </w:pPr>
      <w:r>
        <w:t>Quarterly service improvement plan</w:t>
      </w:r>
    </w:p>
    <w:p>
      <w:pPr>
        <w:pStyle w:val="Heading1"/>
      </w:pPr>
      <w:r>
        <w:t>Service level commitments</w:t>
      </w:r>
    </w:p>
    <w:p>
      <w:r>
        <w:rPr>
          <w:b w:val="0"/>
          <w:i w:val="0"/>
        </w:rPr>
        <w:t>Nimbus commits to the service levels in the client's RFP. Nimbus does not offer service levels beyond the RFP unless they are priced and evidenced.</w:t>
      </w:r>
    </w:p>
    <w:tbl>
      <w:tblPr>
        <w:tblStyle w:val="TableGrid"/>
        <w:tblW w:type="auto" w:w="0"/>
        <w:tblLook w:firstColumn="1" w:firstRow="1" w:lastColumn="0" w:lastRow="0" w:noHBand="0" w:noVBand="1" w:val="04A0"/>
      </w:tblPr>
      <w:tblGrid>
        <w:gridCol w:w="4873"/>
        <w:gridCol w:w="4873"/>
      </w:tblGrid>
      <w:tr>
        <w:tc>
          <w:tcPr>
            <w:tcW w:type="dxa" w:w="4873"/>
            <w:shd w:val="clear" w:color="auto" w:fill="F6EFE2"/>
          </w:tcPr>
          <w:p>
            <w:r>
              <w:rPr>
                <w:b/>
                <w:sz w:val="18"/>
              </w:rPr>
              <w:t>Parameter</w:t>
            </w:r>
          </w:p>
        </w:tc>
        <w:tc>
          <w:tcPr>
            <w:tcW w:type="dxa" w:w="4873"/>
            <w:shd w:val="clear" w:color="auto" w:fill="F6EFE2"/>
          </w:tcPr>
          <w:p>
            <w:r>
              <w:rPr>
                <w:b/>
                <w:sz w:val="18"/>
              </w:rPr>
              <w:t>Commitment</w:t>
            </w:r>
          </w:p>
        </w:tc>
      </w:tr>
      <w:tr>
        <w:tc>
          <w:tcPr>
            <w:tcW w:type="dxa" w:w="4873"/>
          </w:tcPr>
          <w:p>
            <w:r>
              <w:rPr>
                <w:sz w:val="18"/>
              </w:rPr>
              <w:t>Infrastructure availability</w:t>
            </w:r>
          </w:p>
        </w:tc>
        <w:tc>
          <w:tcPr>
            <w:tcW w:type="dxa" w:w="4873"/>
          </w:tcPr>
          <w:p>
            <w:r>
              <w:rPr>
                <w:sz w:val="18"/>
              </w:rPr>
              <w:t>As per RFP SLA</w:t>
            </w:r>
          </w:p>
        </w:tc>
      </w:tr>
      <w:tr>
        <w:tc>
          <w:tcPr>
            <w:tcW w:type="dxa" w:w="4873"/>
          </w:tcPr>
          <w:p>
            <w:r>
              <w:rPr>
                <w:sz w:val="18"/>
              </w:rPr>
              <w:t>P1 response / resolution</w:t>
            </w:r>
          </w:p>
        </w:tc>
        <w:tc>
          <w:tcPr>
            <w:tcW w:type="dxa" w:w="4873"/>
          </w:tcPr>
          <w:p>
            <w:r>
              <w:rPr>
                <w:sz w:val="18"/>
              </w:rPr>
              <w:t>As per RFP SLA</w:t>
            </w:r>
          </w:p>
        </w:tc>
      </w:tr>
      <w:tr>
        <w:tc>
          <w:tcPr>
            <w:tcW w:type="dxa" w:w="4873"/>
          </w:tcPr>
          <w:p>
            <w:r>
              <w:rPr>
                <w:sz w:val="18"/>
              </w:rPr>
              <w:t>Monthly SLA report</w:t>
            </w:r>
          </w:p>
        </w:tc>
        <w:tc>
          <w:tcPr>
            <w:tcW w:type="dxa" w:w="4873"/>
          </w:tcPr>
          <w:p>
            <w:r>
              <w:rPr>
                <w:sz w:val="18"/>
              </w:rPr>
              <w:t>By the 7th of the following month</w:t>
            </w:r>
          </w:p>
        </w:tc>
      </w:tr>
      <w:tr>
        <w:tc>
          <w:tcPr>
            <w:tcW w:type="dxa" w:w="4873"/>
          </w:tcPr>
          <w:p>
            <w:r>
              <w:rPr>
                <w:sz w:val="18"/>
              </w:rPr>
              <w:t>Root cause analysis for P1</w:t>
            </w:r>
          </w:p>
        </w:tc>
        <w:tc>
          <w:tcPr>
            <w:tcW w:type="dxa" w:w="4873"/>
          </w:tcPr>
          <w:p>
            <w:r>
              <w:rPr>
                <w:sz w:val="18"/>
              </w:rPr>
              <w:t>Within 5 working days</w:t>
            </w:r>
          </w:p>
        </w:tc>
      </w:tr>
    </w:tbl>
    <w:p/>
    <w:p>
      <w:pPr>
        <w:pStyle w:val="Heading1"/>
      </w:pPr>
      <w:r>
        <w:t>Risk register (top risks and mitigations)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F6EFE2"/>
          </w:tcPr>
          <w:p>
            <w:r>
              <w:rPr>
                <w:b/>
                <w:sz w:val="18"/>
              </w:rPr>
              <w:t>Risk</w:t>
            </w:r>
          </w:p>
        </w:tc>
        <w:tc>
          <w:tcPr>
            <w:tcW w:type="dxa" w:w="3249"/>
            <w:shd w:val="clear" w:color="auto" w:fill="F6EFE2"/>
          </w:tcPr>
          <w:p>
            <w:r>
              <w:rPr>
                <w:b/>
                <w:sz w:val="18"/>
              </w:rPr>
              <w:t>Mitigation</w:t>
            </w:r>
          </w:p>
        </w:tc>
        <w:tc>
          <w:tcPr>
            <w:tcW w:type="dxa" w:w="3249"/>
            <w:shd w:val="clear" w:color="auto" w:fill="F6EFE2"/>
          </w:tcPr>
          <w:p>
            <w:r>
              <w:rPr>
                <w:b/>
                <w:sz w:val="18"/>
              </w:rPr>
              <w:t>Owner</w:t>
            </w:r>
          </w:p>
        </w:tc>
      </w:tr>
      <w:tr>
        <w:tc>
          <w:tcPr>
            <w:tcW w:type="dxa" w:w="3249"/>
          </w:tcPr>
          <w:p>
            <w:r>
              <w:rPr>
                <w:sz w:val="18"/>
              </w:rPr>
              <w:t>Incomplete knowledge transfer from incumbent</w:t>
            </w:r>
          </w:p>
        </w:tc>
        <w:tc>
          <w:tcPr>
            <w:tcW w:type="dxa" w:w="3249"/>
          </w:tcPr>
          <w:p>
            <w:r>
              <w:rPr>
                <w:sz w:val="18"/>
              </w:rPr>
              <w:t>Structured KT plan, shadowing, CMDB rebuild from discovery</w:t>
            </w:r>
          </w:p>
        </w:tc>
        <w:tc>
          <w:tcPr>
            <w:tcW w:type="dxa" w:w="3249"/>
          </w:tcPr>
          <w:p>
            <w:r>
              <w:rPr>
                <w:sz w:val="18"/>
              </w:rPr>
              <w:t>Project Manager</w:t>
            </w:r>
          </w:p>
        </w:tc>
      </w:tr>
      <w:tr>
        <w:tc>
          <w:tcPr>
            <w:tcW w:type="dxa" w:w="3249"/>
          </w:tcPr>
          <w:p>
            <w:r>
              <w:rPr>
                <w:sz w:val="18"/>
              </w:rPr>
              <w:t>Key personnel attrition</w:t>
            </w:r>
          </w:p>
        </w:tc>
        <w:tc>
          <w:tcPr>
            <w:tcW w:type="dxa" w:w="3249"/>
          </w:tcPr>
          <w:p>
            <w:r>
              <w:rPr>
                <w:sz w:val="18"/>
              </w:rPr>
              <w:t>Named back-ups, retention bonus, 30-day overlap for replacements</w:t>
            </w:r>
          </w:p>
        </w:tc>
        <w:tc>
          <w:tcPr>
            <w:tcW w:type="dxa" w:w="3249"/>
          </w:tcPr>
          <w:p>
            <w:r>
              <w:rPr>
                <w:sz w:val="18"/>
              </w:rPr>
              <w:t>Delivery Head</w:t>
            </w:r>
          </w:p>
        </w:tc>
      </w:tr>
      <w:tr>
        <w:tc>
          <w:tcPr>
            <w:tcW w:type="dxa" w:w="3249"/>
          </w:tcPr>
          <w:p>
            <w:r>
              <w:rPr>
                <w:sz w:val="18"/>
              </w:rPr>
              <w:t>OEM support delays</w:t>
            </w:r>
          </w:p>
        </w:tc>
        <w:tc>
          <w:tcPr>
            <w:tcW w:type="dxa" w:w="3249"/>
          </w:tcPr>
          <w:p>
            <w:r>
              <w:rPr>
                <w:sz w:val="18"/>
              </w:rPr>
              <w:t>Back-to-back support agreements, escalation contacts at OEMs</w:t>
            </w:r>
          </w:p>
        </w:tc>
        <w:tc>
          <w:tcPr>
            <w:tcW w:type="dxa" w:w="3249"/>
          </w:tcPr>
          <w:p>
            <w:r>
              <w:rPr>
                <w:sz w:val="18"/>
              </w:rPr>
              <w:t>DC Operations Lead</w:t>
            </w:r>
          </w:p>
        </w:tc>
      </w:tr>
      <w:tr>
        <w:tc>
          <w:tcPr>
            <w:tcW w:type="dxa" w:w="3249"/>
          </w:tcPr>
          <w:p>
            <w:r>
              <w:rPr>
                <w:sz w:val="18"/>
              </w:rPr>
              <w:t>Security incident</w:t>
            </w:r>
          </w:p>
        </w:tc>
        <w:tc>
          <w:tcPr>
            <w:tcW w:type="dxa" w:w="3249"/>
          </w:tcPr>
          <w:p>
            <w:r>
              <w:rPr>
                <w:sz w:val="18"/>
              </w:rPr>
              <w:t>24x7 monitoring, CERT-In reporting in 6 hours, incident playbooks</w:t>
            </w:r>
          </w:p>
        </w:tc>
        <w:tc>
          <w:tcPr>
            <w:tcW w:type="dxa" w:w="3249"/>
          </w:tcPr>
          <w:p>
            <w:r>
              <w:rPr>
                <w:sz w:val="18"/>
              </w:rPr>
              <w:t>Security Lead</w:t>
            </w:r>
          </w:p>
        </w:tc>
      </w:tr>
      <w:tr>
        <w:tc>
          <w:tcPr>
            <w:tcW w:type="dxa" w:w="3249"/>
          </w:tcPr>
          <w:p>
            <w:r>
              <w:rPr>
                <w:sz w:val="18"/>
              </w:rPr>
              <w:t>Scope creep</w:t>
            </w:r>
          </w:p>
        </w:tc>
        <w:tc>
          <w:tcPr>
            <w:tcW w:type="dxa" w:w="3249"/>
          </w:tcPr>
          <w:p>
            <w:r>
              <w:rPr>
                <w:sz w:val="18"/>
              </w:rPr>
              <w:t>Change control through CAB and contract change notes</w:t>
            </w:r>
          </w:p>
        </w:tc>
        <w:tc>
          <w:tcPr>
            <w:tcW w:type="dxa" w:w="3249"/>
          </w:tcPr>
          <w:p>
            <w:r>
              <w:rPr>
                <w:sz w:val="18"/>
              </w:rPr>
              <w:t>Project Manager</w:t>
            </w:r>
          </w:p>
        </w:tc>
      </w:tr>
    </w:tbl>
    <w:p/>
    <w:p>
      <w:pPr>
        <w:pStyle w:val="Heading1"/>
      </w:pPr>
      <w:r>
        <w:t>Quality assurance</w:t>
      </w:r>
    </w:p>
    <w:p>
      <w:r>
        <w:rPr>
          <w:b w:val="0"/>
          <w:i w:val="0"/>
        </w:rPr>
        <w:t>Engagement quality plan within 30 days of Go-Live; internal quality audits twice a year; customer satisfaction survey every quarter; corrective actions for every SLA breach.</w:t>
      </w:r>
    </w:p>
    <w:p>
      <w:pPr>
        <w:pStyle w:val="Heading1"/>
      </w:pPr>
      <w:r>
        <w:t>Exit management</w:t>
      </w:r>
    </w:p>
    <w:p>
      <w:r>
        <w:rPr>
          <w:b w:val="0"/>
          <w:i w:val="0"/>
        </w:rPr>
        <w:t>Exit plan within 90 days of Go-Live, updated yearly; six months of exit support with knowledge transfer, documentation, configurations and credentials handed over.</w:t>
      </w:r>
    </w:p>
    <w:p>
      <w:pPr>
        <w:pStyle w:val="Heading1"/>
      </w:pPr>
      <w:r>
        <w:t>Assumptions</w:t>
      </w:r>
    </w:p>
    <w:p>
      <w:r>
        <w:rPr>
          <w:b w:val="0"/>
          <w:i w:val="0"/>
        </w:rPr>
        <w:t>Client provides workspace, access, and timely approvals for changes.</w:t>
      </w:r>
    </w:p>
    <w:p>
      <w:r>
        <w:rPr>
          <w:b w:val="0"/>
          <w:i w:val="0"/>
        </w:rPr>
        <w:t>Facility management (power, cooling) is provided by the client's facility agency.</w:t>
      </w:r>
    </w:p>
    <w:p>
      <w:r>
        <w:rPr>
          <w:b w:val="0"/>
          <w:i w:val="0"/>
        </w:rPr>
        <w:t>Prices and staffing as of 2020; to be revalidated for any reuse.</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color w:val="6B4423"/>
        <w:sz w:val="15"/>
      </w:rPr>
      <w:t>SYNTHETIC - FICTIONAL DEMO DATA FOR TENDERBRIDGE - NOT A REAL COMPANY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Nimbus Digital Services Pvt. Ltd. (fictional company) | KB-PP-001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O&amp;M of Konkan State Data Centre (2020)</dc:title>
  <dc:subject/>
  <dc:creator>Nimbus Digital Services Pvt. Ltd. (synthetic)</dc:creator>
  <cp:keywords>synthetic, fictional, TenderBridge demo</cp:keywords>
  <dc:description>SYNTHETIC - FICTIONAL DEMO DATA FOR TENDERBRIDGE - NOT A REAL COMPANY RECORD</dc:description>
  <cp:lastModifiedBy/>
  <cp:revision>1</cp:revision>
  <dcterms:created xsi:type="dcterms:W3CDTF">2013-12-23T23:15:00Z</dcterms:created>
  <dcterms:modified xsi:type="dcterms:W3CDTF">2013-12-23T23:15:00Z</dcterms:modified>
  <cp:category/>
</cp:coreProperties>
</file>