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Proposal: NOC and Data Centre Managed Services for Metro Rail Corporation (2023)</w:t>
      </w:r>
    </w:p>
    <w:p>
      <w:r>
        <w:rPr>
          <w:i/>
        </w:rPr>
        <w:t>Client: Pragati Metro Rail Corporation (fictional) | Year: 2023 | Result: LOST | Synthetic past proposal for the TenderBridge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KB-PP-003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Client (fictional)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Pragati Metro Rail Corporation (fictional)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lost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Topic tags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NOC, data centre, managed services, transport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Approved for reuse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Partial: sections 3 and 4 only; sections 1, 5 and 6 contain outdated or unsupported statements and are NOT approved for reuse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 (NOT approved for reuse)</w:t>
      </w:r>
    </w:p>
    <w:p>
      <w:r>
        <w:rPr>
          <w:b w:val="0"/>
          <w:i w:val="0"/>
        </w:rPr>
        <w:t>Nimbus guarantees 99.99% uptime across all systems and has managed three State Data Centres.</w:t>
      </w:r>
    </w:p>
    <w:p>
      <w:r>
        <w:rPr>
          <w:b w:val="0"/>
          <w:i w:val="0"/>
        </w:rPr>
        <w:t>Our ISO/IEC 27001:2013 certified ISMS covers all Nimbus locations.</w:t>
      </w:r>
    </w:p>
    <w:p>
      <w:r>
        <w:br w:type="page"/>
      </w:r>
    </w:p>
    <w:p>
      <w:pPr>
        <w:pStyle w:val="Heading1"/>
      </w:pPr>
      <w:r>
        <w:t>2. Understanding of scope</w:t>
      </w:r>
    </w:p>
    <w:p>
      <w:r>
        <w:rPr>
          <w:b w:val="0"/>
          <w:i w:val="0"/>
        </w:rPr>
        <w:t>The client operates a 30-rack data centre and an operations control centre network across 28 stations.</w:t>
      </w:r>
    </w:p>
    <w:p>
      <w:r>
        <w:br w:type="page"/>
      </w:r>
    </w:p>
    <w:p>
      <w:pPr>
        <w:pStyle w:val="Heading1"/>
      </w:pPr>
      <w:r>
        <w:t>3. NOC operating model (approved for reuse)</w:t>
      </w:r>
    </w:p>
    <w:p>
      <w:r>
        <w:rPr>
          <w:b w:val="0"/>
          <w:i w:val="0"/>
        </w:rPr>
        <w:t>24x7 NOC with tiered L1/L2/L3 support; alerts auto-ticketed; daily network health report by 10:00; monthly trend analysis of recurring incidents.</w:t>
      </w:r>
    </w:p>
    <w:p>
      <w:pPr>
        <w:pStyle w:val="ListBullet"/>
      </w:pPr>
      <w:r>
        <w:t>Shift handover checklist with open P1/P2 incidents</w:t>
      </w:r>
    </w:p>
    <w:p>
      <w:pPr>
        <w:pStyle w:val="ListBullet"/>
      </w:pPr>
      <w:r>
        <w:t>ISP escalation matrix with timelines</w:t>
      </w:r>
    </w:p>
    <w:p>
      <w:pPr>
        <w:pStyle w:val="ListBullet"/>
      </w:pPr>
      <w:r>
        <w:t>Quarterly preventive maintenance calendar</w:t>
      </w:r>
    </w:p>
    <w:p>
      <w:r>
        <w:br w:type="page"/>
      </w:r>
    </w:p>
    <w:p>
      <w:pPr>
        <w:pStyle w:val="Heading1"/>
      </w:pPr>
      <w:r>
        <w:t>4. Change and configuration management (approved for reuse)</w:t>
      </w:r>
    </w:p>
    <w:p>
      <w:r>
        <w:rPr>
          <w:b w:val="0"/>
          <w:i w:val="0"/>
        </w:rPr>
        <w:t>CMDB built from auto-discovery within 90 days; weekly change advisory board; emergency change process with retrospective approval within 24 hours.</w:t>
      </w:r>
    </w:p>
    <w:p>
      <w:r>
        <w:br w:type="page"/>
      </w:r>
    </w:p>
    <w:p>
      <w:pPr>
        <w:pStyle w:val="Heading1"/>
      </w:pPr>
      <w:r>
        <w:t>5. Team (NOT approved for reuse)</w:t>
      </w:r>
    </w:p>
    <w:p>
      <w:r>
        <w:rPr>
          <w:b w:val="0"/>
          <w:i w:val="0"/>
        </w:rPr>
        <w:t>Proposed security lead: CISM-certified security lead with 13 years of experience (name withheld).</w:t>
      </w:r>
    </w:p>
    <w:p>
      <w:r>
        <w:br w:type="page"/>
      </w:r>
    </w:p>
    <w:p>
      <w:pPr>
        <w:pStyle w:val="Heading1"/>
      </w:pPr>
      <w:r>
        <w:t>6. Commercial assumptions (NOT approved for reuse)</w:t>
      </w:r>
    </w:p>
    <w:p>
      <w:r>
        <w:rPr>
          <w:b w:val="0"/>
          <w:i w:val="0"/>
        </w:rPr>
        <w:t>Penalties capped at 5% of monthly charges; payment within 30 days.</w:t>
      </w:r>
    </w:p>
    <w:p>
      <w:pPr>
        <w:pStyle w:val="Heading1"/>
      </w:pPr>
      <w:r>
        <w:t>NOC tooling</w:t>
      </w:r>
    </w:p>
    <w:p>
      <w:r>
        <w:rPr>
          <w:b w:val="0"/>
          <w:i w:val="0"/>
        </w:rPr>
        <w:t>The NMS polls devices every 60 seconds and receives traps; alerts are correlated to suppress duplicates and create tickets automatically. Topology maps are kept current from discovery.</w:t>
      </w:r>
    </w:p>
    <w:p>
      <w:pPr>
        <w:pStyle w:val="Heading1"/>
      </w:pPr>
      <w:r>
        <w:t>ISP and field coordination</w:t>
      </w:r>
    </w:p>
    <w:p>
      <w:r>
        <w:rPr>
          <w:b w:val="0"/>
          <w:i w:val="0"/>
        </w:rPr>
        <w:t>Each link has an ISP escalation matrix with timelines. Field engineers are dispatched through the ITSM tool with GPS-stamped visit records.</w:t>
      </w:r>
    </w:p>
    <w:p>
      <w:pPr>
        <w:pStyle w:val="Heading1"/>
      </w:pPr>
      <w:r>
        <w:t>Network and security devices tower</w:t>
      </w:r>
    </w:p>
    <w:p>
      <w:r>
        <w:rPr>
          <w:b w:val="0"/>
          <w:i w:val="0"/>
        </w:rPr>
        <w:t>The network tower manages core and access switches, routers, firewalls, load balancers and security appliances inside the data centre. All changes to firewall rules go through the change process with a business justification and an expiry date for temporary rules.</w:t>
      </w:r>
    </w:p>
    <w:p>
      <w:r>
        <w:rPr>
          <w:b w:val="0"/>
          <w:i w:val="0"/>
        </w:rPr>
        <w:t>Configuration backups of all devices are taken daily and compared with the previous version; unexpected differences raise an alert. Firmware is kept within the OEM's supported versions.</w:t>
      </w:r>
    </w:p>
    <w:p>
      <w:pPr>
        <w:pStyle w:val="ListBullet"/>
      </w:pPr>
      <w:r>
        <w:t>Monthly: firewall rule review, unused rule clean-up</w:t>
      </w:r>
    </w:p>
    <w:p>
      <w:pPr>
        <w:pStyle w:val="ListBullet"/>
      </w:pPr>
      <w:r>
        <w:t>Quarterly: configuration compliance audit</w:t>
      </w:r>
    </w:p>
    <w:p>
      <w:pPr>
        <w:pStyle w:val="ListBullet"/>
      </w:pPr>
      <w:r>
        <w:t>Half-yearly: network architecture review with the client</w:t>
      </w:r>
    </w:p>
    <w:p>
      <w:r>
        <w:br w:type="page"/>
      </w:r>
    </w:p>
    <w:p>
      <w:pPr>
        <w:pStyle w:val="Heading1"/>
      </w:pPr>
      <w:r>
        <w:t>Governance structure</w:t>
      </w:r>
    </w:p>
    <w:p>
      <w:r>
        <w:rPr>
          <w:b w:val="0"/>
          <w:i w:val="0"/>
        </w:rPr>
        <w:t>A three-tier governance model: (1) a steering committee chaired by the client and attended by the Nimbus VP - Public Sector Business, meeting quarterly; (2) a monthly service review chaired by the client's nodal officer with the Nimbus project manager; (3) daily operations calls between shift in-charges and client IT staff.</w:t>
      </w:r>
    </w:p>
    <w:p>
      <w:pPr>
        <w:pStyle w:val="ListBullet"/>
      </w:pPr>
      <w:r>
        <w:t>Escalation matrix with names and response times for each level</w:t>
      </w:r>
    </w:p>
    <w:p>
      <w:pPr>
        <w:pStyle w:val="ListBullet"/>
      </w:pPr>
      <w:r>
        <w:t>Minutes and action logs maintained in the ITSM tool</w:t>
      </w:r>
    </w:p>
    <w:p>
      <w:pPr>
        <w:pStyle w:val="ListBullet"/>
      </w:pPr>
      <w:r>
        <w:t>Quarterly service improvement plan</w:t>
      </w:r>
    </w:p>
    <w:p>
      <w:pPr>
        <w:pStyle w:val="Heading1"/>
      </w:pPr>
      <w:r>
        <w:t>Service level commitments</w:t>
      </w:r>
    </w:p>
    <w:p>
      <w:r>
        <w:rPr>
          <w:b w:val="0"/>
          <w:i w:val="0"/>
        </w:rPr>
        <w:t>Nimbus commits to the service levels in the client's RFP. Nimbus does not offer service levels beyond the RFP unless they are priced and evidenced.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Commitment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Infrastructure availability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As per RFP SLA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P1 response / resolution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As per RFP SLA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Monthly SLA report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By the 7th of the following month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Root cause analysis for P1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Within 5 working days</w:t>
            </w:r>
          </w:p>
        </w:tc>
      </w:tr>
    </w:tbl>
    <w:p/>
    <w:p>
      <w:pPr>
        <w:pStyle w:val="Heading1"/>
      </w:pPr>
      <w:r>
        <w:t>Risk register (top risks and mitigations)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6EFE2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3249"/>
            <w:shd w:val="clear" w:color="auto" w:fill="F6EFE2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3249"/>
            <w:shd w:val="clear" w:color="auto" w:fill="F6EFE2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Incomplete knowledge transfer from incumbent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Structured KT plan, shadowing, CMDB rebuild from discovery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Project Manager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Key personnel attrition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Named back-ups, retention bonus, 30-day overlap for replacements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Delivery Head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OEM support delays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Back-to-back support agreements, escalation contacts at OEMs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DC Operations Lead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Security incident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24x7 monitoring, CERT-In reporting in 6 hours, incident playbooks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Security Lead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Change control through CAB and contract change notes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Project Manager</w:t>
            </w:r>
          </w:p>
        </w:tc>
      </w:tr>
    </w:tbl>
    <w:p/>
    <w:p>
      <w:pPr>
        <w:pStyle w:val="Heading1"/>
      </w:pPr>
      <w:r>
        <w:t>Quality assurance</w:t>
      </w:r>
    </w:p>
    <w:p>
      <w:r>
        <w:rPr>
          <w:b w:val="0"/>
          <w:i w:val="0"/>
        </w:rPr>
        <w:t>Engagement quality plan within 30 days of Go-Live; internal quality audits twice a year; customer satisfaction survey every quarter; corrective actions for every SLA breach.</w:t>
      </w:r>
    </w:p>
    <w:p>
      <w:pPr>
        <w:pStyle w:val="Heading1"/>
      </w:pPr>
      <w:r>
        <w:t>Exit management</w:t>
      </w:r>
    </w:p>
    <w:p>
      <w:r>
        <w:rPr>
          <w:b w:val="0"/>
          <w:i w:val="0"/>
        </w:rPr>
        <w:t>Exit plan within 90 days of Go-Live, updated yearly; six months of exit support with knowledge transfer, documentation, configurations and credentials handed over.</w:t>
      </w:r>
    </w:p>
    <w:p>
      <w:pPr>
        <w:pStyle w:val="Heading1"/>
      </w:pPr>
      <w:r>
        <w:t>Assumptions</w:t>
      </w:r>
    </w:p>
    <w:p>
      <w:r>
        <w:rPr>
          <w:b w:val="0"/>
          <w:i w:val="0"/>
        </w:rPr>
        <w:t>Client provides workspace, access, and timely approvals for changes.</w:t>
      </w:r>
    </w:p>
    <w:p>
      <w:r>
        <w:rPr>
          <w:b w:val="0"/>
          <w:i w:val="0"/>
        </w:rPr>
        <w:t>Facility management (power, cooling) is provided by the client's facility agency.</w:t>
      </w:r>
    </w:p>
    <w:p>
      <w:r>
        <w:rPr>
          <w:b w:val="0"/>
          <w:i w:val="0"/>
        </w:rPr>
        <w:t>Prices and staffing as of 2023; to be revalidated for any reuse.</w:t>
      </w:r>
    </w:p>
    <w:p>
      <w:pPr>
        <w:pStyle w:val="Heading1"/>
      </w:pPr>
      <w:r>
        <w:t>Debrief and lessons learned (internal)</w:t>
      </w:r>
    </w:p>
    <w:p>
      <w:r>
        <w:rPr>
          <w:b w:val="0"/>
          <w:i w:val="0"/>
        </w:rPr>
        <w:t>Result: lost on technical score (68.5 of 100; qualifying score 70). The client's debrief cited: weak transition plan, no evidence for the 99.99% uptime claim, and a security lead certification that could not be verified.</w:t>
      </w:r>
    </w:p>
    <w:p>
      <w:r>
        <w:rPr>
          <w:b w:val="0"/>
          <w:i w:val="0"/>
        </w:rPr>
        <w:t>Lessons: never state uptime guarantees beyond the tender's SLA; cite only completed projects with completion certificates; check personal certification validity before proposing key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KB-PP-003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Proposal: NOC and Data Centre Managed Services for Metro Rail Corporation (2023)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