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Delivery and Change Management Methodology</w:t>
      </w:r>
    </w:p>
    <w:p>
      <w:r>
        <w:rPr>
          <w:i/>
        </w:rPr>
        <w:t>Owner: Sanjay Iyer, Head - Quality &amp; Process Excellence | Version 4.0 | Effective 1 July 2025 | Next review 30 June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Field</w:t>
            </w:r>
          </w:p>
        </w:tc>
        <w:tc>
          <w:tcPr>
            <w:tcW w:type="dxa" w:w="4873"/>
            <w:shd w:val="clear" w:color="auto" w:fill="F6EFE2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Document ID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KB-POL-005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Classification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Internal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Owner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Sanjay Iyer, Head - Quality &amp; Process Excellence</w:t>
            </w:r>
          </w:p>
        </w:tc>
      </w:tr>
      <w:tr>
        <w:tc>
          <w:tcPr>
            <w:tcW w:type="dxa" w:w="4873"/>
          </w:tcPr>
          <w:p>
            <w:r>
              <w:rPr>
                <w:sz w:val="18"/>
              </w:rPr>
              <w:t>Approved by</w:t>
            </w:r>
          </w:p>
        </w:tc>
        <w:tc>
          <w:tcPr>
            <w:tcW w:type="dxa" w:w="4873"/>
          </w:tcPr>
          <w:p>
            <w:r>
              <w:rPr>
                <w:sz w:val="18"/>
              </w:rPr>
              <w:t>MD &amp; CEO (fictional)</w:t>
            </w:r>
          </w:p>
        </w:tc>
      </w:tr>
    </w:tbl>
    <w:p/>
    <w:p>
      <w:pPr>
        <w:pStyle w:val="Heading1"/>
      </w:pPr>
      <w:r>
        <w:t>1. Overview</w:t>
      </w:r>
    </w:p>
    <w:p>
      <w:r>
        <w:rPr>
          <w:b w:val="0"/>
          <w:i w:val="0"/>
        </w:rPr>
        <w:t>This methodology covers the full lifecycle of a managed services engagement: transition, steady-state operations, continual improvement and exit. It is aligned to ITIL 4 and appraised under CMMI V2.0 ML3 (Services).</w:t>
      </w:r>
    </w:p>
    <w:p>
      <w:pPr>
        <w:pStyle w:val="Heading1"/>
      </w:pPr>
      <w:r>
        <w:t>2. Transition</w:t>
      </w:r>
    </w:p>
    <w:p>
      <w:r>
        <w:rPr>
          <w:b w:val="0"/>
          <w:i w:val="0"/>
        </w:rPr>
        <w:t>Transition includes inventory verification, knowledge capture, at least 30 days of shadowing and at least 15 days of reverse shadowing, followed by a readiness review with the client.</w:t>
      </w:r>
    </w:p>
    <w:p>
      <w:pPr>
        <w:pStyle w:val="Heading1"/>
      </w:pPr>
      <w:r>
        <w:t>3. Steady-state operations</w:t>
      </w:r>
    </w:p>
    <w:p>
      <w:pPr>
        <w:pStyle w:val="ListBullet"/>
      </w:pPr>
      <w:r>
        <w:t>Incident management with a priority matrix and major incident procedure</w:t>
      </w:r>
    </w:p>
    <w:p>
      <w:pPr>
        <w:pStyle w:val="ListBullet"/>
      </w:pPr>
      <w:r>
        <w:t>Problem management with RCA for every P1 within 5 working days</w:t>
      </w:r>
    </w:p>
    <w:p>
      <w:pPr>
        <w:pStyle w:val="ListBullet"/>
      </w:pPr>
      <w:r>
        <w:t>Change management with a weekly CAB and emergency change procedure</w:t>
      </w:r>
    </w:p>
    <w:p>
      <w:pPr>
        <w:pStyle w:val="ListBullet"/>
      </w:pPr>
      <w:r>
        <w:t>Configuration management with auto-discovery CMDB</w:t>
      </w:r>
    </w:p>
    <w:p>
      <w:pPr>
        <w:pStyle w:val="ListBullet"/>
      </w:pPr>
      <w:r>
        <w:t>Capacity and availability management with monthly reports</w:t>
      </w:r>
    </w:p>
    <w:p>
      <w:pPr>
        <w:pStyle w:val="ListBullet"/>
      </w:pPr>
      <w:r>
        <w:t>Service level management with tool-computed SLA dashboards</w:t>
      </w:r>
    </w:p>
    <w:p>
      <w:pPr>
        <w:pStyle w:val="Heading1"/>
      </w:pPr>
      <w:r>
        <w:t>4. Change management</w:t>
      </w:r>
    </w:p>
    <w:p>
      <w:r>
        <w:rPr>
          <w:b w:val="0"/>
          <w:i w:val="0"/>
        </w:rPr>
        <w:t>Every production change needs an approved change record. Standard changes are pre-approved templates. Emergency changes are approved by the shift in-charge and the client representative and reviewed at the next CAB.</w:t>
      </w:r>
    </w:p>
    <w:p>
      <w:pPr>
        <w:pStyle w:val="Heading1"/>
      </w:pPr>
      <w:r>
        <w:t>5. Continual improvement</w:t>
      </w:r>
    </w:p>
    <w:p>
      <w:r>
        <w:rPr>
          <w:b w:val="0"/>
          <w:i w:val="0"/>
        </w:rPr>
        <w:t>Quarterly service improvement plan agreed with the client.</w:t>
      </w:r>
    </w:p>
    <w:p>
      <w:pPr>
        <w:pStyle w:val="Heading1"/>
      </w:pPr>
      <w:r>
        <w:t>6. Exit</w:t>
      </w:r>
    </w:p>
    <w:p>
      <w:r>
        <w:rPr>
          <w:b w:val="0"/>
          <w:i w:val="0"/>
        </w:rPr>
        <w:t>Exit plan prepared within 90 days of Go-Live and updated yearly; six months of exit support including knowledge transfer and handover of configurations, documentation and credentials.</w:t>
      </w:r>
    </w:p>
    <w:p>
      <w:pPr>
        <w:pStyle w:val="Heading1"/>
      </w:pPr>
      <w:r>
        <w:t>7. Roles and responsibilities</w:t>
      </w:r>
    </w:p>
    <w:p>
      <w:pPr>
        <w:pStyle w:val="ListBullet"/>
      </w:pPr>
      <w:r>
        <w:t>Project Manager: accountable for delivery, SLA and client relationship</w:t>
      </w:r>
    </w:p>
    <w:p>
      <w:pPr>
        <w:pStyle w:val="ListBullet"/>
      </w:pPr>
      <w:r>
        <w:t>DC Operations Lead: shift management and operational processes</w:t>
      </w:r>
    </w:p>
    <w:p>
      <w:pPr>
        <w:pStyle w:val="ListBullet"/>
      </w:pPr>
      <w:r>
        <w:t>Tower leads: technical quality in their tower</w:t>
      </w:r>
    </w:p>
    <w:p>
      <w:pPr>
        <w:pStyle w:val="ListBullet"/>
      </w:pPr>
      <w:r>
        <w:t>Quality team: audits and process improvement</w:t>
      </w:r>
    </w:p>
    <w:p>
      <w:pPr>
        <w:pStyle w:val="Heading1"/>
      </w:pPr>
      <w:r>
        <w:t>8. Tailoring</w:t>
      </w:r>
    </w:p>
    <w:p>
      <w:r>
        <w:rPr>
          <w:b w:val="0"/>
          <w:i w:val="0"/>
        </w:rPr>
        <w:t>Engagements may tailor processes within the limits of the tailoring guidelines; tailoring decisions are approved by the quality team and recorded.</w:t>
      </w:r>
    </w:p>
    <w:p>
      <w:pPr>
        <w:pStyle w:val="Heading1"/>
      </w:pPr>
      <w:r>
        <w:t>9. Metrics</w:t>
      </w:r>
    </w:p>
    <w:p>
      <w:pPr>
        <w:pStyle w:val="ListBullet"/>
      </w:pPr>
      <w:r>
        <w:t>SLA compliance by parameter</w:t>
      </w:r>
    </w:p>
    <w:p>
      <w:pPr>
        <w:pStyle w:val="ListBullet"/>
      </w:pPr>
      <w:r>
        <w:t>Incident volumes and backlog</w:t>
      </w:r>
    </w:p>
    <w:p>
      <w:pPr>
        <w:pStyle w:val="ListBullet"/>
      </w:pPr>
      <w:r>
        <w:t>Change success rate</w:t>
      </w:r>
    </w:p>
    <w:p>
      <w:pPr>
        <w:pStyle w:val="ListBullet"/>
      </w:pPr>
      <w:r>
        <w:t>Patch compliance</w:t>
      </w:r>
    </w:p>
    <w:p>
      <w:pPr>
        <w:pStyle w:val="ListBullet"/>
      </w:pPr>
      <w:r>
        <w:t>Customer satisfaction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/>
        <w:color w:val="6B4423"/>
        <w:sz w:val="15"/>
      </w:rPr>
      <w:t>SYNTHETIC - FICTIONAL DEMO DATA FOR TENDERBRIDGE - NOT A REAL COMPANY RECORD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Nimbus Digital Services Pvt. Ltd. (fictional company) | KB-POL-005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Service Delivery and Change Management Methodology</dc:title>
  <dc:subject/>
  <dc:creator>Nimbus Digital Services Pvt. Ltd. (synthetic)</dc:creator>
  <cp:keywords>synthetic, fictional, TenderBridge demo</cp:keywords>
  <dc:description>SYNTHETIC - FICTIONAL DEMO DATA FOR TENDERBRIDGE - NOT A REAL COMPANY RECORD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