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4FD8"/>
          <w:sz w:val="80"/>
        </w:rPr>
        <w:t>DOCAYA</w:t>
      </w:r>
    </w:p>
    <w:p>
      <w:pPr>
        <w:jc w:val="center"/>
      </w:pPr>
      <w:r>
        <w:rPr>
          <w:b/>
          <w:color w:val="0F1B33"/>
          <w:sz w:val="29"/>
        </w:rPr>
        <w:t>Enterprise Electronic Document Management System</w:t>
      </w:r>
    </w:p>
    <w:p>
      <w:pPr>
        <w:spacing w:before="200"/>
        <w:jc w:val="center"/>
      </w:pPr>
      <w:r>
        <w:rPr>
          <w:b/>
          <w:color w:val="14705C"/>
          <w:sz w:val="46"/>
        </w:rPr>
        <w:t>Azure SQL Deployment Guide</w:t>
      </w:r>
    </w:p>
    <w:p>
      <w:pPr>
        <w:jc w:val="center"/>
      </w:pPr>
      <w:r>
        <w:rPr>
          <w:b/>
          <w:color w:val="D9660F"/>
          <w:sz w:val="26"/>
        </w:rPr>
        <w:t>Version 1.3</w:t>
      </w:r>
    </w:p>
    <w:p>
      <w:pPr>
        <w:spacing w:after="360"/>
        <w:jc w:val="center"/>
      </w:pPr>
      <w:r>
        <w:rPr>
          <w:color w:val="5A6B85"/>
          <w:sz w:val="18"/>
        </w:rPr>
        <w:t>Provisioning  ·  Identity  ·  Script execution  ·  Validation  ·  Operations  ·  Rollback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shd w:val="clear" w:fill="14705C"/>
          </w:tcPr>
          <w:p>
            <w:r>
              <w:rPr>
                <w:sz w:val="14"/>
              </w:rPr>
              <w:t xml:space="preserve"> </w:t>
            </w:r>
          </w:p>
        </w:tc>
        <w:tc>
          <w:tcPr>
            <w:tcW w:type="dxa" w:w="3288"/>
            <w:shd w:val="clear" w:fill="1E4FD8"/>
          </w:tcPr>
          <w:p>
            <w:r>
              <w:rPr>
                <w:sz w:val="14"/>
              </w:rPr>
              <w:t xml:space="preserve"> </w:t>
            </w:r>
          </w:p>
        </w:tc>
        <w:tc>
          <w:tcPr>
            <w:tcW w:type="dxa" w:w="3288"/>
            <w:shd w:val="clear" w:fill="D9660F"/>
          </w:tcPr>
          <w:p>
            <w:r>
              <w:rPr>
                <w:sz w:val="14"/>
              </w:rPr>
              <w:t xml:space="preserve"> </w:t>
            </w:r>
          </w:p>
        </w:tc>
      </w:tr>
    </w:tbl>
    <w:p/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256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30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Document type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Azure SQL Deployment Guide — step-by-step installation runbook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7"/>
              </w:rPr>
              <w:t>1.3  —  accompanies the Docaya Database Deployment Scripts v1.3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Target platform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Azure SQL Database (compatible with SQL Server 2019 and later)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7"/>
              </w:rPr>
              <w:t>Companion artefacts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7"/>
              </w:rPr>
              <w:t>16 ordered T-SQL scripts (00–15) · Docaya-Database-Design-Document-v1.3.docx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Authoritative source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Docaya Technical Architecture Document v1.3, Sections 11, 14.6.3 and 18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7"/>
              </w:rPr>
              <w:t>Intended reader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7"/>
              </w:rPr>
              <w:t>Cloud infrastructure engineer, database engineer, release engineer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Draft for Review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7"/>
              </w:rPr>
              <w:t>OFFICIAL – Internal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13 September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D6DEEA"/>
          <w:left w:val="single" w:sz="22" w:space="0" w:color="14705C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E9F4F1"/>
            <w:tcMar>
              <w:top w:w="105" w:type="dxa"/>
              <w:start w:w="14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4705C"/>
                <w:sz w:val="18"/>
              </w:rPr>
              <w:t xml:space="preserve">How to use this guide   </w:t>
            </w:r>
            <w:r>
              <w:rPr>
                <w:sz w:val="17"/>
              </w:rPr>
              <w:t>Work through Sections 3 to 8 in order. Each section ends with a verification step that must pass before the next begins. Section 9 covers what to do when something fails, and Section 10 lists the two items that must be closed before the database is trusted in production.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1.  Overview</w:t>
      </w:r>
    </w:p>
    <w:p>
      <w:pPr>
        <w:pStyle w:val="Heading2"/>
      </w:pPr>
      <w:r>
        <w:t>1.1  What This Deployment Creates</w:t>
      </w:r>
    </w:p>
    <w:p>
      <w:pPr>
        <w:spacing w:after="100"/>
      </w:pPr>
      <w:r>
        <w:rPr>
          <w:b w:val="0"/>
          <w:i w:val="0"/>
          <w:sz w:val="18"/>
        </w:rPr>
        <w:t>A single Azure SQL Database containing ten bounded schemas, 63 tables, nine reporting views, seven stored procedures, four functions and a least-privilege role model with seven database roles — one per Docaya workload identity.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56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Object type</w:t>
            </w:r>
          </w:p>
        </w:tc>
        <w:tc>
          <w:tcPr>
            <w:tcW w:type="dxa" w:w="986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631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Schemas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stg · docaya · wf · sec · ref · idx · ntf · aud · ops · rpt (plus rls for the security predicate)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Tables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63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Distributed across nine data schemas; rpt contains views only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Foreign keys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All resolve forward in the deployment order; none cascade into a business schema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Check constraints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Including the 16 architectural guarantees enforced in the database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Indexes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58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28 filtered, 14 covering, 9 unique-filtered expressing business rules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Views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All in rpt; the Power BI semantic model reads nothing else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Procedures / functions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7 / 4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Serialisation, atomicity and working-day arithmetic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Triggers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aud.TR_AuditEvent_Immutable (append-only enforcement)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Database roles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One per workload identity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GRANT / DENY</w:t>
            </w:r>
          </w:p>
        </w:tc>
        <w:tc>
          <w:tcPr>
            <w:tcW w:type="dxa" w:w="98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63 / 29</w:t>
            </w:r>
          </w:p>
        </w:tc>
        <w:tc>
          <w:tcPr>
            <w:tcW w:type="dxa" w:w="631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Least privilege with explicit isolation</w:t>
            </w:r>
          </w:p>
        </w:tc>
      </w:tr>
    </w:tbl>
    <w:p>
      <w:pPr>
        <w:spacing w:after="40"/>
      </w:pPr>
    </w:p>
    <w:p>
      <w:pPr>
        <w:pStyle w:val="Heading2"/>
      </w:pPr>
      <w:r>
        <w:t>1.2  Deployment Topology</w:t>
      </w:r>
    </w:p>
    <w:p>
      <w:pPr>
        <w:sectPr>
          <w:headerReference w:type="default" r:id="rId11"/>
          <w:footerReference w:type="default" r:id="rId12"/>
          <w:pgSz w:w="11906" w:h="16838"/>
          <w:pgMar w:top="1077" w:right="964" w:bottom="964" w:left="1077" w:header="720" w:footer="720" w:gutter="0"/>
          <w:cols w:space="720"/>
          <w:docGrid w:linePitch="360"/>
        </w:sectPr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9576000" cy="532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loy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532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6B85"/>
          <w:sz w:val="15"/>
        </w:rPr>
        <w:t>Figure 1 — Workload identities, private connectivity, the database, and the seven-stage deployment pipeline.</w:t>
      </w:r>
    </w:p>
    <w:p>
      <w:pPr>
        <w:sectPr>
          <w:pgSz w:w="16838" w:h="11906" w:orient="landscape"/>
          <w:pgMar w:top="737" w:right="794" w:bottom="680" w:left="794" w:header="720" w:footer="720" w:gutter="0"/>
          <w:cols w:space="720"/>
          <w:docGrid w:linePitch="360"/>
        </w:sectPr>
      </w:pPr>
    </w:p>
    <w:p>
      <w:pPr>
        <w:pStyle w:val="Heading2"/>
      </w:pPr>
      <w:r>
        <w:t>1.3  Deployment Principles</w:t>
      </w:r>
    </w:p>
    <w:p>
      <w:pPr>
        <w:pStyle w:val="ListBullet"/>
        <w:spacing w:after="50"/>
        <w:ind w:left="351" w:hanging="193"/>
      </w:pPr>
      <w:r>
        <w:rPr>
          <w:b/>
          <w:sz w:val="18"/>
        </w:rPr>
        <w:t xml:space="preserve">Managed identity only. </w:t>
      </w:r>
      <w:r>
        <w:rPr>
          <w:sz w:val="18"/>
        </w:rPr>
        <w:t>No SQL logins, no passwords, no connection string carrying credentials. Every workload authenticates with its own Azure managed identity.</w:t>
      </w:r>
    </w:p>
    <w:p>
      <w:pPr>
        <w:pStyle w:val="ListBullet"/>
        <w:spacing w:after="50"/>
        <w:ind w:left="351" w:hanging="193"/>
      </w:pPr>
      <w:r>
        <w:rPr>
          <w:b/>
          <w:sz w:val="18"/>
        </w:rPr>
        <w:t xml:space="preserve">Private endpoint only. </w:t>
      </w:r>
      <w:r>
        <w:rPr>
          <w:sz w:val="18"/>
        </w:rPr>
        <w:t>Public network access on the database is disabled. The application reaches SQL over a private endpoint with private DNS resolution.</w:t>
      </w:r>
    </w:p>
    <w:p>
      <w:pPr>
        <w:pStyle w:val="ListBullet"/>
        <w:spacing w:after="50"/>
        <w:ind w:left="351" w:hanging="193"/>
      </w:pPr>
      <w:r>
        <w:rPr>
          <w:b/>
          <w:sz w:val="18"/>
        </w:rPr>
        <w:t xml:space="preserve">Idempotent scripts. </w:t>
      </w:r>
      <w:r>
        <w:rPr>
          <w:sz w:val="18"/>
        </w:rPr>
        <w:t>Every script may be re-run safely. A failed deployment is corrected and re-executed from the failing file, not unwound.</w:t>
      </w:r>
    </w:p>
    <w:p>
      <w:pPr>
        <w:pStyle w:val="ListBullet"/>
        <w:spacing w:after="50"/>
        <w:ind w:left="351" w:hanging="193"/>
      </w:pPr>
      <w:r>
        <w:rPr>
          <w:b/>
          <w:sz w:val="18"/>
        </w:rPr>
        <w:t xml:space="preserve">Order is mandatory. </w:t>
      </w:r>
      <w:r>
        <w:rPr>
          <w:sz w:val="18"/>
        </w:rPr>
        <w:t>Foreign keys resolve forward: ref before sec, sec before docaya, docaya before everything that references a document.</w:t>
      </w:r>
    </w:p>
    <w:p>
      <w:pPr>
        <w:pStyle w:val="ListBullet"/>
        <w:spacing w:after="50"/>
        <w:ind w:left="351" w:hanging="193"/>
      </w:pPr>
      <w:r>
        <w:rPr>
          <w:b/>
          <w:sz w:val="18"/>
        </w:rPr>
        <w:t xml:space="preserve">Validation is a gate. </w:t>
      </w:r>
      <w:r>
        <w:rPr>
          <w:sz w:val="18"/>
        </w:rPr>
        <w:t>Script 15 runs 22 assertions and THROWs on failure, so it wires directly into the release pipeline as a blocking step.</w:t>
      </w:r>
    </w:p>
    <w:p>
      <w:pPr>
        <w:pStyle w:val="ListBullet"/>
        <w:spacing w:after="50"/>
        <w:ind w:left="351" w:hanging="193"/>
      </w:pPr>
      <w:r>
        <w:rPr>
          <w:b/>
          <w:sz w:val="18"/>
        </w:rPr>
        <w:t xml:space="preserve">DDL is pipeline-only. </w:t>
      </w:r>
      <w:r>
        <w:rPr>
          <w:sz w:val="18"/>
        </w:rPr>
        <w:t>The migration identity holds ALTER rights and is never used at runtime. It has no data-plane SELECT on document content.</w:t>
      </w: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2.  Prerequisites</w:t>
      </w:r>
    </w:p>
    <w:p>
      <w:pPr>
        <w:pStyle w:val="Heading2"/>
      </w:pPr>
      <w:r>
        <w:t>2.1  Azure Resources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17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532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36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Created by</w:t>
            </w:r>
          </w:p>
        </w:tc>
      </w:tr>
      <w:tr>
        <w:trPr>
          <w:cantSplit/>
        </w:trPr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Azure SQL logical server</w:t>
            </w:r>
          </w:p>
        </w:tc>
        <w:tc>
          <w:tcPr>
            <w:tcW w:type="dxa" w:w="532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In an approved UAE region. Public network access disabled; minimum TLS 1.2.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infra/modules/sql.bicep</w:t>
            </w:r>
          </w:p>
        </w:tc>
      </w:tr>
      <w:tr>
        <w:trPr>
          <w:cantSplit/>
        </w:trPr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Azure SQL database</w:t>
            </w:r>
          </w:p>
        </w:tc>
        <w:tc>
          <w:tcPr>
            <w:tcW w:type="dxa" w:w="532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Service tier per environment (see 2.3). Transparent Data Encryption enabled.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infra/modules/sql.bicep</w:t>
            </w:r>
          </w:p>
        </w:tc>
      </w:tr>
      <w:tr>
        <w:trPr>
          <w:cantSplit/>
        </w:trPr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Private endpoint</w:t>
            </w:r>
          </w:p>
        </w:tc>
        <w:tc>
          <w:tcPr>
            <w:tcW w:type="dxa" w:w="532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In snet-pe, with a private DNS zone for privatelink.database.windows.net.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infra/modules/network.bicep</w:t>
            </w:r>
          </w:p>
        </w:tc>
      </w:tr>
      <w:tr>
        <w:trPr>
          <w:cantSplit/>
        </w:trPr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Managed identities</w:t>
            </w:r>
          </w:p>
        </w:tc>
        <w:tc>
          <w:tcPr>
            <w:tcW w:type="dxa" w:w="532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Seven user-assigned identities, one per workload.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infra/modules/identity.bicep</w:t>
            </w:r>
          </w:p>
        </w:tc>
      </w:tr>
      <w:tr>
        <w:trPr>
          <w:cantSplit/>
        </w:trPr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Log Analytics workspace</w:t>
            </w:r>
          </w:p>
        </w:tc>
        <w:tc>
          <w:tcPr>
            <w:tcW w:type="dxa" w:w="532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for Azure SQL auditing and diagnostic settings.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infra/modules/observability.bicep</w:t>
            </w:r>
          </w:p>
        </w:tc>
      </w:tr>
      <w:tr>
        <w:trPr>
          <w:cantSplit/>
        </w:trPr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Key Vault</w:t>
            </w:r>
          </w:p>
        </w:tc>
        <w:tc>
          <w:tcPr>
            <w:tcW w:type="dxa" w:w="532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Holds any residual third-party secret. No database credential is stored anywhere.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infra/modules/keyvault.bicep</w:t>
            </w:r>
          </w:p>
        </w:tc>
      </w:tr>
    </w:tbl>
    <w:p>
      <w:pPr>
        <w:spacing w:after="40"/>
      </w:pPr>
    </w:p>
    <w:p>
      <w:pPr>
        <w:pStyle w:val="Heading2"/>
      </w:pPr>
      <w:r>
        <w:t>2.2  Identities Required</w:t>
      </w:r>
    </w:p>
    <w:p>
      <w:pPr>
        <w:spacing w:after="100"/>
      </w:pPr>
      <w:r>
        <w:rPr>
          <w:b w:val="0"/>
          <w:i w:val="0"/>
          <w:sz w:val="18"/>
        </w:rPr>
        <w:t>The seven managed identities must exist before script 01 runs. Names must match exactly — script 01 creates database users FROM EXTERNAL PROVIDER using these display names.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36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Managed identity</w:t>
            </w:r>
          </w:p>
        </w:tc>
        <w:tc>
          <w:tcPr>
            <w:tcW w:type="dxa" w:w="236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Database role</w:t>
            </w:r>
          </w:p>
        </w:tc>
        <w:tc>
          <w:tcPr>
            <w:tcW w:type="dxa" w:w="513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Workload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id-docaya-api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docaya_api_role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ASP.NET Core API and backend-for-frontend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id-docaya-capture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docaya_capture_role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Upload and staging worker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id-docaya-worker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docaya_worker_role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Durable Functions — review orchestration, SLA sweep, promotion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id-docaya-index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docaya_index_role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Indexing worker — builds the Document Index Record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id-docaya-report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docaya_report_role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Power BI semantic-model refresh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id-docaya-support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docaya_support_role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Operational support — technical status only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id-docaya-migrate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docaya_migrate_role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Release pipeline — DDL only, never at runtime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D6DEEA"/>
          <w:left w:val="single" w:sz="22" w:space="0" w:color="D9660F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FFF3E8"/>
            <w:tcMar>
              <w:top w:w="105" w:type="dxa"/>
              <w:start w:w="14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D9660F"/>
                <w:sz w:val="18"/>
              </w:rPr>
              <w:t xml:space="preserve">If the identity names differ   </w:t>
            </w:r>
            <w:r>
              <w:rPr>
                <w:sz w:val="17"/>
              </w:rPr>
              <w:t>Edit the @identities table at the top of 01_schemas_and_principals.sql to match the names your Bicep identity module actually created. The role names themselves should not be changed — the grant script and the validation checks reference them.</w:t>
            </w:r>
          </w:p>
        </w:tc>
      </w:tr>
    </w:tbl>
    <w:p>
      <w:pPr>
        <w:spacing w:after="40"/>
      </w:pPr>
    </w:p>
    <w:p>
      <w:pPr>
        <w:pStyle w:val="Heading2"/>
      </w:pPr>
      <w:r>
        <w:t>2.3  Service Tier Guidance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1578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315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Suggested tier</w:t>
            </w:r>
          </w:p>
        </w:tc>
        <w:tc>
          <w:tcPr>
            <w:tcW w:type="dxa" w:w="513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dev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General Purpose · Serverless, 1–4 vCore, auto-pause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Low cost; auto-pause is acceptable because latency on first connection does not matter.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test / UAT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General Purpose · Provisioned, 4–8 vCore, zone-redundant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Production-like behaviour so performance testing is meaningful.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production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Business Critical or General Purpose zone-redundant, sized by load test</w:t>
            </w:r>
          </w:p>
        </w:tc>
        <w:tc>
          <w:tcPr>
            <w:tcW w:type="dxa" w:w="513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Final sizing is confirmed by performance testing, not assumed in advance.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i/>
          <w:sz w:val="18"/>
        </w:rPr>
        <w:t>Storage growth is driven by sec.AccessDecisionLog, aud.AuditEvent and ntf.Notification. Section 8.3 covers the growth profile and the pruning options for each.</w:t>
      </w:r>
    </w:p>
    <w:p>
      <w:pPr>
        <w:pStyle w:val="Heading2"/>
      </w:pPr>
      <w:r>
        <w:t>2.4  Tooling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762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473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36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Minimum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Azure CLI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Provisioning, setting the Entra admin, firewall operations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2.50+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sqlcmd (go-sqlcmd or ODBC 18)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Script execution with Entra authentication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ODBC Driver 18 / go-sqlcmd 1.4+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Azure Data Studio or SSMS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Interactive inspection and troubleshooting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Optional but recommended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PowerShell + SqlServer module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Alternative execution path with Invoke-Sqlcmd</w:t>
            </w:r>
          </w:p>
        </w:tc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Az 10+ · SqlServer 22+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3.  Stage 1 — Provision the Database</w:t>
      </w:r>
    </w:p>
    <w:p>
      <w:pPr>
        <w:spacing w:after="100"/>
      </w:pPr>
      <w:r>
        <w:rPr>
          <w:b w:val="0"/>
          <w:i w:val="0"/>
          <w:sz w:val="18"/>
        </w:rPr>
        <w:t>Provisioning is performed by the Bicep infrastructure package. This section records what that package must produce so the database is in the correct state before any script runs.</w:t>
      </w:r>
    </w:p>
    <w:p>
      <w:pPr>
        <w:pStyle w:val="Heading2"/>
      </w:pPr>
      <w:r>
        <w:t>3.1  Required Server and Database Settings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36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2959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value</w:t>
            </w:r>
          </w:p>
        </w:tc>
        <w:tc>
          <w:tcPr>
            <w:tcW w:type="dxa" w:w="4538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Public network access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Disabled</w:t>
            </w:r>
          </w:p>
        </w:tc>
        <w:tc>
          <w:tcPr>
            <w:tcW w:type="dxa" w:w="453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The data plane is reached only through the private endpoint.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Minimum TLS version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1.2</w:t>
            </w:r>
          </w:p>
        </w:tc>
        <w:tc>
          <w:tcPr>
            <w:tcW w:type="dxa" w:w="453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Enforced in transit encryption.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Entra-only authentication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Enabled (recommended)</w:t>
            </w:r>
          </w:p>
        </w:tc>
        <w:tc>
          <w:tcPr>
            <w:tcW w:type="dxa" w:w="453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Removes SQL authentication entirely; managed identity becomes the only path.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Transparent Data Encryption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Enabled</w:t>
            </w:r>
          </w:p>
        </w:tc>
        <w:tc>
          <w:tcPr>
            <w:tcW w:type="dxa" w:w="453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Encryption at rest. Customer-managed keys are available where client policy requires (open item A9).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Auditing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Enabled to Log Analytics</w:t>
            </w:r>
          </w:p>
        </w:tc>
        <w:tc>
          <w:tcPr>
            <w:tcW w:type="dxa" w:w="453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Platform-level audit, independent of and additional to the application aud schema.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Backup retention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Point-in-time 7–35 days; long-term per policy</w:t>
            </w:r>
          </w:p>
        </w:tc>
        <w:tc>
          <w:tcPr>
            <w:tcW w:type="dxa" w:w="453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Supports the RPO ≤ 5 min / RTO ≤ 1 hr objective.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Collation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SQL_Latin1_General_CP1_CI_AS (default)</w:t>
            </w:r>
          </w:p>
        </w:tc>
        <w:tc>
          <w:tcPr>
            <w:tcW w:type="dxa" w:w="453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All text columns are NVARCHAR; Arabic content is stored as Unicode.</w:t>
            </w:r>
          </w:p>
        </w:tc>
      </w:tr>
    </w:tbl>
    <w:p>
      <w:pPr>
        <w:spacing w:after="40"/>
      </w:pPr>
    </w:p>
    <w:p>
      <w:pPr>
        <w:pStyle w:val="Heading2"/>
      </w:pPr>
      <w:r>
        <w:t>3.2  Set the Entra Administrator</w:t>
      </w:r>
    </w:p>
    <w:p>
      <w:pPr>
        <w:spacing w:after="100"/>
      </w:pPr>
      <w:r>
        <w:rPr>
          <w:b w:val="0"/>
          <w:i w:val="0"/>
          <w:sz w:val="18"/>
        </w:rPr>
        <w:t>Script 01 creates database users FROM EXTERNAL PROVIDER, which requires an Entra-authenticated administrator session. Set a group as the administrator rather than an individual so the deployment does not depend on one person.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# Set an Entra group as the SQL server administrator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az sql server ad-admin create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--resource-group  rg-docaya-&lt;env&gt;-&lt;region&gt;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--server          sql-docaya-&lt;env&gt;-&lt;region&gt;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--display-name    'Docaya SQL Administrators'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--object-id       &lt;entra-group-object-id&gt;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# Optional but recommended: disable SQL authentication entirely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az sql server ad-only-auth enable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--resource-group  rg-docaya-&lt;env&gt;-&lt;region&gt;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--name            sql-docaya-&lt;env&gt;-&lt;region&gt;</w:t>
            </w:r>
          </w:p>
        </w:tc>
      </w:tr>
    </w:tbl>
    <w:p>
      <w:pPr>
        <w:spacing w:after="40"/>
      </w:pPr>
    </w:p>
    <w:p>
      <w:pPr>
        <w:pStyle w:val="Heading2"/>
      </w:pPr>
      <w:r>
        <w:t>3.3  Verify Connectivity Before Proceeding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Run from a host inside the VNet (or via the deployment agent).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Confirms the private endpoint resolves and the session is Entra-authenticated.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ServerName   = @@SERVERNAME,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DatabaseName = DB_NAME(),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LoginName    = SUSER_SNAME(),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AuthScheme   = (SELECT auth_scheme FROM sys.dm_exec_connections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             WHERE session_id = @@SPID),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IsEntraAdmin = IS_SRVROLEMEMBER('sysadmin');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D6DEEA"/>
          <w:left w:val="single" w:sz="22" w:space="0" w:color="B4232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FDECEC"/>
            <w:tcMar>
              <w:top w:w="105" w:type="dxa"/>
              <w:start w:w="14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B4232A"/>
                <w:sz w:val="18"/>
              </w:rPr>
              <w:t xml:space="preserve">Verification gate   </w:t>
            </w:r>
            <w:r>
              <w:rPr>
                <w:sz w:val="17"/>
              </w:rPr>
              <w:t>AuthScheme should return a value indicating Entra authentication. If it returns SQL, you are connected with a SQL login and script 01 will skip user creation. Reconnect with an Entra identity before continuing.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4.  Stage 2 — Execute the Scripts</w:t>
      </w:r>
    </w:p>
    <w:p>
      <w:pPr>
        <w:pStyle w:val="Heading2"/>
      </w:pPr>
      <w:r>
        <w:t>4.1  Execution Order</w:t>
      </w:r>
    </w:p>
    <w:p>
      <w:pPr>
        <w:spacing w:after="100"/>
      </w:pPr>
      <w:r>
        <w:rPr>
          <w:b w:val="0"/>
          <w:i w:val="0"/>
          <w:sz w:val="18"/>
        </w:rPr>
        <w:t>Order is mandatory. Every script is idempotent and may be re-run without side effects.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9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959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Script</w:t>
            </w:r>
          </w:p>
        </w:tc>
        <w:tc>
          <w:tcPr>
            <w:tcW w:type="dxa" w:w="4932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Creates</w:t>
            </w:r>
          </w:p>
        </w:tc>
        <w:tc>
          <w:tcPr>
            <w:tcW w:type="dxa" w:w="148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Typical runtime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00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00_master_deploy.sql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Manifest and environment banner (no DDL)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&lt; 1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01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01_schemas_and_principals.sql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10 schemas · 7 roles · workload users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2–5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02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02_ref_reference_data.sql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14 catalogue tables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3–6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03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03_sec_access_control.sql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7 access-control tables + indexes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3–6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04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04_docaya_core_registry.sql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8 registry tables + 6 hot-path indexes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5–10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05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05_stg_staging.sql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6 staging tables + filtered indexes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3–6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06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06_wf_workflow_sla.sql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6 workflow tables + queue indexes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4–8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07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07_idx_index_projection.sql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5 projection tables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3–5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08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08_ntf_notification.sql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6 notification tables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3–5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09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09_aud_audit.sql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3 audit tables + immutability trigger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2–4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10_ops_operational.sql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6 operational tables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3–5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11_rpt_reporting_views.sql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9 reporting views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2–4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12_programmability.sql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4 functions · 7 procedures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3–6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13_security_grants.sql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63 GRANT · 29 DENY · RLS predicate and policy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3–6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14_seed_reference_data.sql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Seed catalogues, calendar, default route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2–5 s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295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4"/>
              </w:rPr>
              <w:t>15_validation_checks.sql</w:t>
            </w:r>
          </w:p>
        </w:tc>
        <w:tc>
          <w:tcPr>
            <w:tcW w:type="dxa" w:w="493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22 blocking assertions</w:t>
            </w:r>
          </w:p>
        </w:tc>
        <w:tc>
          <w:tcPr>
            <w:tcW w:type="dxa" w:w="148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2–5 s</w:t>
            </w:r>
          </w:p>
        </w:tc>
      </w:tr>
    </w:tbl>
    <w:p>
      <w:pPr>
        <w:spacing w:after="40"/>
      </w:pPr>
    </w:p>
    <w:p>
      <w:pPr>
        <w:pStyle w:val="Heading2"/>
      </w:pPr>
      <w:r>
        <w:t>4.2  Running with sqlcmd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# -G  Entra authentication      -I  quoted identifiers      -b  stop on error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SERVER='sql-docaya-dev-uaenorth.database.windows.net'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DATABASE='docaya'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for f in $(ls [0-1][0-9]_*.sql | sort); do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echo "==&gt; $f"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sqlcmd -S "$SERVER" -d "$DATABASE" -G -I -b -i "$f" ||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echo "FAILED at $f"; exit 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done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echo 'Deployment complete.'</w:t>
            </w:r>
          </w:p>
        </w:tc>
      </w:tr>
    </w:tbl>
    <w:p>
      <w:pPr>
        <w:spacing w:after="40"/>
      </w:pPr>
    </w:p>
    <w:p>
      <w:pPr>
        <w:pStyle w:val="Heading2"/>
      </w:pPr>
      <w:r>
        <w:t>4.3  Running with PowerShell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$srv = 'sql-docaya-dev-uaenorth.database.windows.net'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$db  = 'docaya'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$tok = (Get-AzAccessToken -ResourceUrl 'https://database.windows.net').Token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Get-ChildItem *.sql |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Where-Object { $_.Name -match '^\d\d_' } |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Sort-Object Name |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ForEach-Object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Write-Host "==&gt; $($_.Name)"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Invoke-Sqlcmd -ServerInstance $srv -Database $db `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            -AccessToken $tok -InputFile $_.FullName -AbortOnError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}</w:t>
            </w:r>
          </w:p>
        </w:tc>
      </w:tr>
    </w:tbl>
    <w:p>
      <w:pPr>
        <w:spacing w:after="40"/>
      </w:pPr>
    </w:p>
    <w:p>
      <w:pPr>
        <w:pStyle w:val="Heading2"/>
      </w:pPr>
      <w:r>
        <w:t>4.4  Running from a CI/CD Pipeline</w:t>
      </w:r>
    </w:p>
    <w:p>
      <w:pPr>
        <w:spacing w:after="100"/>
      </w:pPr>
      <w:r>
        <w:rPr>
          <w:b w:val="0"/>
          <w:i w:val="0"/>
          <w:sz w:val="18"/>
        </w:rPr>
        <w:t>The pipeline authenticates with workload identity federation (OIDC) — no cloud credential is stored. The migration identity is used, which holds ALTER rights but no data-plane read on document content.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# Azure DevOps / GitHub Actions step (bash)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az login --service-principal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 --username  $AZURE_CLIENT_ID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 --tenant    $AZURE_TENANT_ID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 --federated-token $ACTIONS_ID_TOKEN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for f in $(ls sql/[0-1][0-9]_*.sql | sort); do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sqlcmd -S "$SQL_SERVER" -d "$SQL_DATABASE" -G -I -b -i "$f" || exit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done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# Script 15 THROWs on any failed assertion, so a non-zero exit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# blocks the release before the application is pointed at the database.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D6DEEA"/>
          <w:left w:val="single" w:sz="22" w:space="0" w:color="D9660F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FFF3E8"/>
            <w:tcMar>
              <w:top w:w="105" w:type="dxa"/>
              <w:start w:w="14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D9660F"/>
                <w:sz w:val="18"/>
              </w:rPr>
              <w:t xml:space="preserve">Expected behaviour of script 01   </w:t>
            </w:r>
            <w:r>
              <w:rPr>
                <w:sz w:val="17"/>
              </w:rPr>
              <w:t>If the managed identities do not yet exist, script 01 prints SKIPPED for each missing identity and continues, so the rest of the schema still deploys. Re-run script 01 alone after the Bicep identity module has completed; it will then create the users and add them to their roles.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5.  Stage 3 — Seed and Configure</w:t>
      </w:r>
    </w:p>
    <w:p>
      <w:pPr>
        <w:pStyle w:val="Heading2"/>
      </w:pPr>
      <w:r>
        <w:t>5.1  What Script 14 Seeds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197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Catalogue</w:t>
            </w:r>
          </w:p>
        </w:tc>
        <w:tc>
          <w:tcPr>
            <w:tcW w:type="dxa" w:w="473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Seeded</w:t>
            </w:r>
          </w:p>
        </w:tc>
        <w:tc>
          <w:tcPr>
            <w:tcW w:type="dxa" w:w="315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Confirmation required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ref.Status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12 lifecycle states from PendingRegistration to Disposed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No — derived from the v1.3 state machine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ref.StatusTransition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19 allowed transitions; any move not listed is rejected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ref.Sensitivity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Public, Internal, Confidential, Secret with clearance ranks 1–4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Handling markings (A2)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ref.PublishingScope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Departmental, Cross-Departmental, Organisation-wide, Public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ref.Priority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Routine, Priority, Urgent mapped to Normal / Urgent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ref.DocumentClass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8 classes with SharePoint library names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Yes — class list and library map (A2)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ref.Department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6 departments with spoke-site URLs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Yes — departmental structure (A2)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ref.Standard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5 standards with folder segments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Yes — Standard taxonomy (A2)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ref.RetentionPolicy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5 placeholder policies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Yes — Records sign-off (A2)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sec.Role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12 application roles with capability flags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ref.WorkingWeek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UAE weekend: Saturday and Sunday non-working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Yes — confirm practice (A4)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ref.HolidayCalendar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EMPTY by design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Yes — client-supplied holidays (A4)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ref.SlaTarget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Urgent 12 days (3-day warning); Normal 30 (5-day warning)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Yes — targets and window (A3)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ntf.NotificationType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16 types across 9 categories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No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4"/>
              </w:rPr>
              <w:t>wf.RouteDefinition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GLOBAL-4STAGE: Editor → Owner → Assurance → Authoriser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Yes — stage variants (A3)</w:t>
            </w:r>
          </w:p>
        </w:tc>
      </w:tr>
    </w:tbl>
    <w:p>
      <w:pPr>
        <w:spacing w:after="40"/>
      </w:pPr>
    </w:p>
    <w:p>
      <w:pPr>
        <w:pStyle w:val="Heading2"/>
      </w:pPr>
      <w:r>
        <w:t>5.2  Load the Holiday Calendar</w:t>
      </w:r>
    </w:p>
    <w:tbl>
      <w:tblPr>
        <w:tblW w:type="auto" w:w="0"/>
        <w:jc w:val="center"/>
        <w:tblBorders>
          <w:top w:val="single" w:sz="4" w:space="0" w:color="D6DEEA"/>
          <w:left w:val="single" w:sz="22" w:space="0" w:color="B4232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FDECEC"/>
            <w:tcMar>
              <w:top w:w="105" w:type="dxa"/>
              <w:start w:w="14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B4232A"/>
                <w:sz w:val="18"/>
              </w:rPr>
              <w:t xml:space="preserve">This step is mandatory before production   </w:t>
            </w:r>
            <w:r>
              <w:rPr>
                <w:sz w:val="17"/>
              </w:rPr>
              <w:t>ref.HolidayCalendar ships empty. The weekend pattern is seeded, but the working-day SLA engine will compute targets as if there are no public holidays until this table is populated. Load the client-confirmed dates as calendar version 1 before the database is used for live workflow.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Load client-supplied public holidays as calendar version 1.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INSERT INTO ref.HolidayCalendar (CalendarCode, VersionNo, HolidayDate, DescriptionEn)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VALUES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(N'UAE-FED', 1, '2026-01-01', N'New Year''s Day'),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(N'UAE-FED', 1, '2026-12-02', N'UAE National Day'),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(N'UAE-FED', 1, '2026-12-03', N'UAE National Day holiday');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 xml:space="preserve">    -- … remaining client-confirmed dates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Verify the arithmetic now reflects the loaded holidays: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TargetDate = ref.fn_AddWorkingDays(N'UAE-FED', 1, CAST(SYSUTCDATETIME() AS DATE), 12);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 w:val="0"/>
          <w:i/>
          <w:sz w:val="18"/>
        </w:rPr>
        <w:t>Amending the calendar later creates a NEW VersionNo. In-flight workflow instances are then recalculated and a Recalculated SLA event is written for each, rather than the target changing silently.</w:t>
      </w:r>
    </w:p>
    <w:p>
      <w:pPr>
        <w:pStyle w:val="Heading2"/>
      </w:pPr>
      <w:r>
        <w:t>5.3  Row-Level Security Activation</w:t>
      </w:r>
    </w:p>
    <w:p>
      <w:pPr>
        <w:spacing w:after="100"/>
      </w:pPr>
      <w:r>
        <w:rPr>
          <w:b w:val="0"/>
          <w:i w:val="0"/>
          <w:sz w:val="18"/>
        </w:rPr>
        <w:t>rls.DocayaDepartmentRls is created WITH (STATE = OFF). It must stay off until the Power BI embed-token service is confirmed to populate SESSION_CONTEXT, because the predicate returns no rows when the context keys are absent.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762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SESSION_CONTEXT key</w:t>
            </w:r>
          </w:p>
        </w:tc>
        <w:tc>
          <w:tcPr>
            <w:tcW w:type="dxa" w:w="1578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Set to</w:t>
            </w:r>
          </w:p>
        </w:tc>
        <w:tc>
          <w:tcPr>
            <w:tcW w:type="dxa" w:w="5524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DocayaAllDepartments</w:t>
            </w:r>
          </w:p>
        </w:tc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52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Platform-wide reader — System Administrator, Records Officer, Auditor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DocayaDepartmentId</w:t>
            </w:r>
          </w:p>
        </w:tc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int</w:t>
            </w:r>
          </w:p>
        </w:tc>
        <w:tc>
          <w:tcPr>
            <w:tcW w:type="dxa" w:w="5524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The viewer's own department, matching ref.Department.DepartmentId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/>
                <w:sz w:val="15"/>
              </w:rPr>
              <w:t>DocayaDepartmentIds</w:t>
            </w:r>
          </w:p>
        </w:tc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JSON array</w:t>
            </w:r>
          </w:p>
        </w:tc>
        <w:tc>
          <w:tcPr>
            <w:tcW w:type="dxa" w:w="552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Explicitly granted cross-department visibility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Enable ONLY after the embed-token service sets SESSION_CONTEXT.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ALTER SECURITY POLICY rls.DocayaDepartmentRls WITH (STATE = ON);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Verify with a simulated context before enabling for real users: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EXEC sp_set_session_context @key = N'DocayaDepartmentId', @value = 5;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COUNT(*) AS VisibleDocuments FROM rpt.vwDocumentRegistry;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6.  Stage 4 — Validate</w:t>
      </w:r>
    </w:p>
    <w:p>
      <w:pPr>
        <w:spacing w:after="100"/>
      </w:pPr>
      <w:r>
        <w:rPr>
          <w:b w:val="0"/>
          <w:i w:val="0"/>
          <w:sz w:val="18"/>
        </w:rPr>
        <w:t>Script 15 runs 22 assertions and THROWs if any fails, so it functions as a release gate. Run it after every deployment and after any schema change.</w:t>
      </w:r>
    </w:p>
    <w:p>
      <w:pPr>
        <w:pStyle w:val="Heading2"/>
      </w:pPr>
      <w:r>
        <w:t>6.1  What Is Asserted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197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97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Checks</w:t>
            </w:r>
          </w:p>
        </w:tc>
        <w:tc>
          <w:tcPr>
            <w:tcW w:type="dxa" w:w="5919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What it proves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Structure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1, 2, 20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Ten schemas exist, registry tables present, nine reporting views created.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Exactly-once and integrity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3, 4, 11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Tracking number unique, promotion idempotency key unique, 100 MB cap enforced.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Audit defensibility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5, 6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Immutability trigger exists; no application role holds UPDATE or DELETE on aud.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Isolation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The capture role is explicitly denied the docaya schema.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Business rules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8, 9, 10, 12, 13, 14, 15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Published-only index; mandatory return comment; mandatory extension reason; one open session; one owning department; 3–4 stages; notification de-duplication.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Seed completeness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16, 17, 18, 19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Status catalogue, roles, SLA targets and the default four-stage route are present.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Behaviour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A live working-day round trip returns exactly 12.</w:t>
            </w:r>
          </w:p>
        </w:tc>
      </w:tr>
      <w:tr>
        <w:trPr>
          <w:cantSplit/>
        </w:trPr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Safety</w:t>
            </w:r>
          </w:p>
        </w:tc>
        <w:tc>
          <w:tcPr>
            <w:tcW w:type="dxa" w:w="197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591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No cascade delete exists in docaya, wf, aud or sec.</w:t>
            </w:r>
          </w:p>
        </w:tc>
      </w:tr>
    </w:tbl>
    <w:p>
      <w:pPr>
        <w:spacing w:after="40"/>
      </w:pPr>
    </w:p>
    <w:p>
      <w:pPr>
        <w:pStyle w:val="Heading2"/>
      </w:pPr>
      <w:r>
        <w:t>6.2  Expected Output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CheckNo  CheckName                                  Expected  Actual  Result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-------  -----------------------------------------  --------  ------  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1  Schemas created                            10        10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2  docaya tables                              &gt;= 8      9 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3  TrackingNumber unique constraint           1         1 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4  PromotionLedger idempotency UNIQUE         1         1 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5  Audit append-only trigger                  1         1 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6  No UPDATE/DELETE grant on aud              0         0 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7  Capture role denied docaya schema          &gt;= 1      1 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...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21  Working-day round trip (12 days)           12        12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22  No cascade delete on registry/workflow     0         0       PASS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15 · all validation checks PASSED.</w:t>
            </w:r>
          </w:p>
        </w:tc>
      </w:tr>
    </w:tbl>
    <w:p>
      <w:pPr>
        <w:spacing w:after="40"/>
      </w:pPr>
    </w:p>
    <w:p>
      <w:pPr>
        <w:pStyle w:val="Heading2"/>
      </w:pPr>
      <w:r>
        <w:t>6.3  Smoke Test</w:t>
      </w:r>
    </w:p>
    <w:p>
      <w:pPr>
        <w:spacing w:after="100"/>
      </w:pPr>
      <w:r>
        <w:rPr>
          <w:b w:val="0"/>
          <w:i w:val="0"/>
          <w:sz w:val="18"/>
        </w:rPr>
        <w:t>A minimal end-to-end exercise that confirms the schema, the constraints and the programmability are all functioning together.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-- 1) Tracking number issuance is atomic and correctly formatted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DECLARE @tn NVARCHAR(20);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EXEC docaya.usp_IssueTrackingNumber @TrackingNumber = @tn OUTPUT;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IssuedTrackingNumber = @tn;   -- expect DOC-2026-000001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-- 2) Route resolution returns the seeded global four-stage chain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DECLARE @rid INT;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EXEC wf.usp_ResolveRoute @DocumentClassId = 1, @DepartmentId = 1,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                 @RouteDefinitionId = @rid OUTPUT;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ResolvedRouteId = @rid, StageCount = (SELECT StageCount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FROM wf.RouteDefinition WHERE RouteDefinitionId = @rid);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-- 3) The audit chain accepts an append and verifies clean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DECLARE @aid BIGINT, @p UNIQUEIDENTIFIER = NEWID();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INSERT INTO sec.Principal (PrincipalId, ExternalObjectId, PrincipalType, DisplayName)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VALUES (@p, N'smoke-test-oid', N'User', N'Smoke Test');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EXEC aud.usp_AppendAuditEvent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@ActorPrincipalId = @p, @ExecutorIdentity = N'id-docaya-api',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@ActionCode = N'SmokeTest', @RequestId = N'smoke-001',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@AuditEventId = @aid OUTPUT;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EXEC aud.usp_VerifyChain;           -- expect VerificationOk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-- 4) The immutability trigger blocks an UPDATE (expect an error)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BEGIN 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UPDATE aud.AuditEvent SET Outcome = N'Failed' WHERE AuditEventId = @aid;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SELECT TriggerResult = N'FAIL - update was allowed';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END 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BEGIN CATCH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SELECT TriggerResult = N'PASS - blocked: ' + ERROR_MESSAGE();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END CATCH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7.  Stage 5 — Verify the Security Model</w:t>
      </w:r>
    </w:p>
    <w:p>
      <w:pPr>
        <w:sectPr>
          <w:pgSz w:w="11906" w:h="16838"/>
          <w:pgMar w:top="1077" w:right="964" w:bottom="964" w:left="1077" w:header="720" w:footer="720" w:gutter="0"/>
          <w:cols w:space="720"/>
          <w:docGrid w:linePitch="360"/>
        </w:sectPr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9576000" cy="5328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532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A6B85"/>
          <w:sz w:val="15"/>
        </w:rPr>
        <w:t>Figure 2 — The grant matrix as deployed. Seven roles, ten schemas, and the explicit denials that isolate each workload.</w:t>
      </w:r>
    </w:p>
    <w:p>
      <w:pPr>
        <w:sectPr>
          <w:pgSz w:w="16838" w:h="11906" w:orient="landscape"/>
          <w:pgMar w:top="737" w:right="794" w:bottom="680" w:left="794" w:header="720" w:footer="720" w:gutter="0"/>
          <w:cols w:space="720"/>
          <w:docGrid w:linePitch="360"/>
        </w:sectPr>
      </w:pPr>
    </w:p>
    <w:p>
      <w:pPr>
        <w:pStyle w:val="Heading2"/>
      </w:pPr>
      <w:r>
        <w:t>7.1  Confirm Role Membership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Every workload identity should appear against exactly one docaya_* role.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 RoleName   = r.name,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MemberName = m.name,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MemberType = m.type_desc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FROM    sys.database_role_members rm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JOIN    sys.database_principals r ON r.principal_id = rm.role_principal_id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JOIN    sys.database_principals m ON m.principal_id = rm.member_principal_id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WHERE   r.name LIKE 'docaya[_]%'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ORDER BY r.name;</w:t>
            </w:r>
          </w:p>
        </w:tc>
      </w:tr>
    </w:tbl>
    <w:p>
      <w:pPr>
        <w:spacing w:after="40"/>
      </w:pPr>
    </w:p>
    <w:p>
      <w:pPr>
        <w:pStyle w:val="Heading2"/>
      </w:pPr>
      <w:r>
        <w:t>7.2  Confirm the Critical Denials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Expect rows for capture (docaya, wf, sec, aud, idx) and report (all base schemas).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 Principal  = pr.name,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Schema_    = SCHEMA_NAME(p.major_id),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Permission = p.permission_name,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    State      = p.state_desc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FROM    sys.database_permissions 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JOIN    sys.database_principals pr ON pr.principal_id = p.grantee_principal_id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WHERE   p.class_desc = 'SCHEMA'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AND   p.state_desc = 'DENY'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AND   pr.name LIKE 'docaya[_]%'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ORDER BY pr.name, SCHEMA_NAME(p.major_id);</w:t>
            </w:r>
          </w:p>
        </w:tc>
      </w:tr>
    </w:tbl>
    <w:p>
      <w:pPr>
        <w:spacing w:after="40"/>
      </w:pPr>
    </w:p>
    <w:p>
      <w:pPr>
        <w:pStyle w:val="Heading2"/>
      </w:pPr>
      <w:r>
        <w:t>7.3  Negative Tests</w:t>
      </w:r>
    </w:p>
    <w:p>
      <w:pPr>
        <w:spacing w:after="100"/>
      </w:pPr>
      <w:r>
        <w:rPr>
          <w:b w:val="0"/>
          <w:i w:val="0"/>
          <w:sz w:val="18"/>
        </w:rPr>
        <w:t>These prove the isolation is real rather than assumed. Run each impersonating the named role; every one must fail.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762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3749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3354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Capture cannot read the registry</w:t>
            </w:r>
          </w:p>
        </w:tc>
        <w:tc>
          <w:tcPr>
            <w:tcW w:type="dxa" w:w="374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 TOP 1 * FROM docaya.Document;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Permission denied on schema docaya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Capture cannot read the audit chain</w:t>
            </w:r>
          </w:p>
        </w:tc>
        <w:tc>
          <w:tcPr>
            <w:tcW w:type="dxa" w:w="374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 TOP 1 * FROM aud.AuditEvent;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Permission denied on schema aud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API cannot update the audit chain</w:t>
            </w:r>
          </w:p>
        </w:tc>
        <w:tc>
          <w:tcPr>
            <w:tcW w:type="dxa" w:w="374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UPDATE aud.AuditEvent SET Outcome = 'Failed';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Denied by DENY, then by trigger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API cannot delete a document</w:t>
            </w:r>
          </w:p>
        </w:tc>
        <w:tc>
          <w:tcPr>
            <w:tcW w:type="dxa" w:w="374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DELETE FROM docaya.Document;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Permission denied — disposition is a governed action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Reporting cannot read base tables</w:t>
            </w:r>
          </w:p>
        </w:tc>
        <w:tc>
          <w:tcPr>
            <w:tcW w:type="dxa" w:w="374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 TOP 1 * FROM docaya.Document;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Permission denied on schema docaya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Support cannot read document content</w:t>
            </w:r>
          </w:p>
        </w:tc>
        <w:tc>
          <w:tcPr>
            <w:tcW w:type="dxa" w:w="374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SELECT TOP 1 * FROM docaya.Document;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Permission denied on schema docaya</w:t>
            </w:r>
          </w:p>
        </w:tc>
      </w:tr>
      <w:tr>
        <w:trPr>
          <w:cantSplit/>
        </w:trPr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Index worker cannot alter a document</w:t>
            </w:r>
          </w:p>
        </w:tc>
        <w:tc>
          <w:tcPr>
            <w:tcW w:type="dxa" w:w="374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UPDATE docaya.Document SET BusinessTitle = 'x';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Permission denied on schema docaya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Pattern for running a negative 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EXECUTE AS USER = 'id-docaya-capture';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BEGIN 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SELECT TOP (1) * FROM docaya.Document;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SELECT Result = N'FAIL - access was permitted';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END 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BEGIN CATCH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   SELECT Result = N'PASS - ' + ERROR_MESSAGE();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END CATCH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REVERT;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8.  Operations</w:t>
      </w:r>
    </w:p>
    <w:p>
      <w:pPr>
        <w:pStyle w:val="Heading2"/>
      </w:pPr>
      <w:r>
        <w:t>8.1  Scheduled Jobs</w:t>
      </w:r>
    </w:p>
    <w:p>
      <w:pPr>
        <w:spacing w:after="100"/>
      </w:pPr>
      <w:r>
        <w:rPr>
          <w:b w:val="0"/>
          <w:i w:val="0"/>
          <w:sz w:val="18"/>
        </w:rPr>
        <w:t>These run from the Docaya Functions workers, not from SQL Agent (which is unavailable in Azure SQL Database). Each writes an ops.JobRun row.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76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Job</w:t>
            </w:r>
          </w:p>
        </w:tc>
        <w:tc>
          <w:tcPr>
            <w:tcW w:type="dxa" w:w="2762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Procedure</w:t>
            </w:r>
          </w:p>
        </w:tc>
        <w:tc>
          <w:tcPr>
            <w:tcW w:type="dxa" w:w="1776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3551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Effect</w:t>
            </w:r>
          </w:p>
        </w:tc>
      </w:tr>
      <w:tr>
        <w:trPr>
          <w:cantSplit/>
        </w:trPr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SLA sweep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wf.usp_SweepSlaStatus</w:t>
            </w:r>
          </w:p>
        </w:tc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Hourly during working hours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Recomputes remaining working days; raises AtRisk and Overdue exactly once each.</w:t>
            </w:r>
          </w:p>
        </w:tc>
      </w:tr>
      <w:tr>
        <w:trPr>
          <w:cantSplit/>
        </w:trPr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Staging purge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docaya.usp_PurgeStagingArtifacts</w:t>
            </w:r>
          </w:p>
        </w:tc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Nightly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Deletes committed chunk receipts, expires abandoned sessions, marks published files reconciled.</w:t>
            </w:r>
          </w:p>
        </w:tc>
      </w:tr>
      <w:tr>
        <w:trPr>
          <w:cantSplit/>
        </w:trPr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Audit verification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aud.usp_VerifyChain @CreateCheckpoint = 1</w:t>
            </w:r>
          </w:p>
        </w:tc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Nightly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Recomputes from the last checkpoint; a broken link is a security incident.</w:t>
            </w:r>
          </w:p>
        </w:tc>
      </w:tr>
      <w:tr>
        <w:trPr>
          <w:cantSplit/>
        </w:trPr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Index reconcile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rFonts w:ascii="Consolas" w:hAnsi="Consolas" w:eastAsia="Consolas"/>
                <w:sz w:val="15"/>
              </w:rPr>
              <w:t>(indexing worker · writes idx.IndexReconcile)</w:t>
            </w:r>
          </w:p>
        </w:tc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Nightly and on demand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Compares the SQL registry to the search index and repairs drift.</w:t>
            </w:r>
          </w:p>
        </w:tc>
      </w:tr>
    </w:tbl>
    <w:p>
      <w:pPr>
        <w:spacing w:after="40"/>
      </w:pPr>
    </w:p>
    <w:p>
      <w:pPr>
        <w:pStyle w:val="Heading2"/>
      </w:pPr>
      <w:r>
        <w:t>8.2  Monitoring Queries</w:t>
      </w:r>
    </w:p>
    <w:p>
      <w:pPr>
        <w:spacing w:after="100"/>
      </w:pPr>
      <w:r>
        <w:rPr>
          <w:b w:val="0"/>
          <w:i w:val="0"/>
          <w:sz w:val="18"/>
        </w:rPr>
        <w:t>Each of these is served by a filtered or covering index, so none scans a base table.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Promotion backlog and quarantine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ResultCode, Items = COUNT(*), OldestUtc = MIN(StartedUtc)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FROM   ops.PromotionLedger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WHERE  ResultCode IN (N'Pending', N'Quarantined', N'Failed')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GROUP BY ResultCode;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Outbox dispatch lag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Undispatched = COUNT(*), OldestUtc = MIN(CreatedUtc)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FROM   ops.OutboxMessage WHERE DispatchedUtc IS NULL;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Index drift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HealthState, Records = COUNT(*) FROM rpt.vwIndexHealth GROUP BY HealthState;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Authorization denial spike (possible probing or misconfiguration)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PrincipalId, Denials = COUNT(*)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FROM   sec.AccessDecisionLog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WHERE  Decision = N'Deny' AND DecidedUtc &gt;= DATEADD(HOUR, -1, SYSUTCDATETIME())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GROUP BY PrincipalId HAVING COUNT(*) &gt; 20;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Dead-letter depth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Source, Items = COUNT(*), OldestUtc = MIN(EnqueuedUtc)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FROM   ops.DeadLetter WHERE ReplayedUtc IS NULL GROUP BY Source;</w:t>
            </w:r>
          </w:p>
        </w:tc>
      </w:tr>
    </w:tbl>
    <w:p>
      <w:pPr>
        <w:spacing w:after="40"/>
      </w:pPr>
    </w:p>
    <w:p>
      <w:pPr>
        <w:pStyle w:val="Heading2"/>
      </w:pPr>
      <w:r>
        <w:t>8.3  Growth and Retention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1578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3551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Growth driver</w:t>
            </w:r>
          </w:p>
        </w:tc>
        <w:tc>
          <w:tcPr>
            <w:tcW w:type="dxa" w:w="473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Retention approach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stg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Upload volume; rows are short-lived by design.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Chunk receipts deleted on commit; staged files reconciled after publication.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docaya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Document count — one registry row plus one row per approved version.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Permanent; subject only to governed disposition under retention policy.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wf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Review activity — several stage and thread rows per document per revision.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Permanent while the document exists; a partitioning candidate at high volume.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sec.AccessDecisionLog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Every authorization evaluation — the highest-volume table.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Prunable on an agreed window; the durable record of a denial remains in aud.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idx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Approved versions multiplied by passage count.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Fully rebuildable; may be truncated and rebuilt at any time.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ntf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Recipients multiplied by events; broadcast publication is the largest contributor.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Prunable; ntf.BroadcastAudience is retained as delivery evidence.</w:t>
            </w:r>
          </w:p>
        </w:tc>
      </w:tr>
      <w:tr>
        <w:trPr>
          <w:cantSplit/>
        </w:trPr>
        <w:tc>
          <w:tcPr>
            <w:tcW w:type="dxa" w:w="15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aud</w:t>
            </w:r>
          </w:p>
        </w:tc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Every action by every actor. Append-only.</w:t>
            </w:r>
          </w:p>
        </w:tc>
        <w:tc>
          <w:tcPr>
            <w:tcW w:type="dxa" w:w="473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Exported to immutable storage for long-term retention; never deleted from the live chain.</w:t>
            </w:r>
          </w:p>
        </w:tc>
      </w:tr>
    </w:tbl>
    <w:p>
      <w:pPr>
        <w:spacing w:after="40"/>
      </w:pPr>
    </w:p>
    <w:p>
      <w:pPr>
        <w:pStyle w:val="Heading2"/>
      </w:pPr>
      <w:r>
        <w:t>8.4  Backup and Recovery Objectives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776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Store</w:t>
            </w:r>
          </w:p>
        </w:tc>
        <w:tc>
          <w:tcPr>
            <w:tcW w:type="dxa" w:w="3354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Mechanism</w:t>
            </w:r>
          </w:p>
        </w:tc>
        <w:tc>
          <w:tcPr>
            <w:tcW w:type="dxa" w:w="108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RPO</w:t>
            </w:r>
          </w:p>
        </w:tc>
        <w:tc>
          <w:tcPr>
            <w:tcW w:type="dxa" w:w="108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RTO</w:t>
            </w:r>
          </w:p>
        </w:tc>
        <w:tc>
          <w:tcPr>
            <w:tcW w:type="dxa" w:w="256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rPr>
          <w:cantSplit/>
        </w:trPr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Azure SQL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Point-in-time restore plus long-term retention; geo-redundant where required.</w:t>
            </w:r>
          </w:p>
        </w:tc>
        <w:tc>
          <w:tcPr>
            <w:tcW w:type="dxa" w:w="108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≤ 5 minutes</w:t>
            </w:r>
          </w:p>
        </w:tc>
        <w:tc>
          <w:tcPr>
            <w:tcW w:type="dxa" w:w="108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≤ 1 hour</w:t>
            </w:r>
          </w:p>
        </w:tc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Quarterly restore rehearsal with aud.usp_VerifyChain on the restored copy.</w:t>
            </w:r>
          </w:p>
        </w:tc>
      </w:tr>
      <w:tr>
        <w:trPr>
          <w:cantSplit/>
        </w:trPr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Derived schemas (idx, rpt)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None required — rebuilt from docaya plus SharePoint.</w:t>
            </w:r>
          </w:p>
        </w:tc>
        <w:tc>
          <w:tcPr>
            <w:tcW w:type="dxa" w:w="108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n/a</w:t>
            </w:r>
          </w:p>
        </w:tc>
        <w:tc>
          <w:tcPr>
            <w:tcW w:type="dxa" w:w="108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Rebuild window</w:t>
            </w:r>
          </w:p>
        </w:tc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Full rebuild timed and re-verified annually.</w:t>
            </w:r>
          </w:p>
        </w:tc>
      </w:tr>
      <w:tr>
        <w:trPr>
          <w:cantSplit/>
        </w:trPr>
        <w:tc>
          <w:tcPr>
            <w:tcW w:type="dxa" w:w="177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Configuration</w:t>
            </w:r>
          </w:p>
        </w:tc>
        <w:tc>
          <w:tcPr>
            <w:tcW w:type="dxa" w:w="3354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Versioned in ops.ConfigurationSet and in the release package.</w:t>
            </w:r>
          </w:p>
        </w:tc>
        <w:tc>
          <w:tcPr>
            <w:tcW w:type="dxa" w:w="108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Per release</w:t>
            </w:r>
          </w:p>
        </w:tc>
        <w:tc>
          <w:tcPr>
            <w:tcW w:type="dxa" w:w="108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Immediate</w:t>
            </w:r>
          </w:p>
        </w:tc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Re-import from the release manifest.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9.  Troubleshooting and Rollback</w:t>
      </w:r>
    </w:p>
    <w:p>
      <w:pPr>
        <w:pStyle w:val="Heading2"/>
      </w:pPr>
      <w:r>
        <w:t>9.1  Common Deployment Failures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256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157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Cause</w:t>
            </w:r>
          </w:p>
        </w:tc>
        <w:tc>
          <w:tcPr>
            <w:tcW w:type="dxa" w:w="414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Resolution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Script 01 prints SKIPPED for every identity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Not connected with an Entra identity, or the managed identities do not exist yet.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 the session with the query in 3.3, then re-run script 01 alone after the Bicep identity module completes.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“Principal … could not be found” on CREATE USER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The managed identity name in the script does not match the one Bicep created.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Edit the @identities table at the top of script 01 to match the actual display names.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Foreign key creation fails in script 04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Scripts were run out of order — ref or sec is missing.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Run 02 and 03 first. All scripts are idempotent, so re-running from 02 is safe.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Validation check 6 fails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A GRANT of UPDATE or DELETE on aud exists for a docaya_* principal.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Re-run script 13. Investigate how the grant was introduced — this is a security finding, not a deployment defect.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Validation check 7 fails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The capture role is not denied the docaya schema.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Re-run script 13 and confirm no later script or manual change removed the DENY.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Validation check 21 fails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ref.WorkingWeek is not seeded, or the calendar version does not match.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Re-run script 14. Confirm ref.WorkingWeek contains seven rows for UAE-FED version 1.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Reports return zero rows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Row-level security was enabled before SESSION_CONTEXT was populated.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Set the policy back to STATE = OFF, confirm the embed-token service, then re-enable.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Timeout on a large index creation</w:t>
            </w:r>
          </w:p>
        </w:tc>
        <w:tc>
          <w:tcPr>
            <w:tcW w:type="dxa" w:w="3157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Under-provisioned service tier during initial deployment.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Scale up for the deployment window, then scale back. Scripts are idempotent and may be re-run.</w:t>
            </w:r>
          </w:p>
        </w:tc>
      </w:tr>
    </w:tbl>
    <w:p>
      <w:pPr>
        <w:spacing w:after="40"/>
      </w:pPr>
    </w:p>
    <w:p>
      <w:pPr>
        <w:pStyle w:val="Heading2"/>
      </w:pPr>
      <w:r>
        <w:t>9.2  Rollback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2565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730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Approach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Failed deployment mid-script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Scripts are idempotent. Correct the cause and re-run from the failing script; earlier scripts detect existing objects and skip.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Schema rollback to a prior version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Re-deploy the previous migration bundle from the release package using the migration identity.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Data recovery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Azure SQL point-in-time restore into an isolated database, then run aud.usp_VerifyChain to confirm the audit chain survived intact.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Derived data loss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Truncate idx.* and rebuild from docaya plus SharePoint; re-run the Power BI refresh. No backup restore is required.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Configuration rollback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ops.ConfigurationSet holds every published version; restoring a prior version is an atomic flag change, not an edit.</w:t>
            </w:r>
          </w:p>
        </w:tc>
      </w:tr>
      <w:tr>
        <w:trPr>
          <w:cantSplit/>
        </w:trPr>
        <w:tc>
          <w:tcPr>
            <w:tcW w:type="dxa" w:w="2565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Full teardown (non-production only)</w:t>
            </w:r>
          </w:p>
        </w:tc>
        <w:tc>
          <w:tcPr>
            <w:tcW w:type="dxa" w:w="730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Drop the database and re-run the full script set. Never perform this against an environment holding live documents.</w:t>
            </w:r>
          </w:p>
        </w:tc>
      </w:tr>
    </w:tbl>
    <w:p>
      <w:pPr>
        <w:spacing w:after="40"/>
      </w:pPr>
    </w:p>
    <w:p>
      <w:pPr>
        <w:pStyle w:val="Heading2"/>
      </w:pPr>
      <w:r>
        <w:t>9.3  Health Check After Any Incident</w:t>
      </w:r>
    </w:p>
    <w:tbl>
      <w:tblPr>
        <w:tblW w:type="auto" w:w="0"/>
        <w:jc w:val="center"/>
        <w:tblBorders>
          <w:top w:val="single" w:sz="6" w:space="0" w:color="2A3550"/>
          <w:left w:val="single" w:sz="6" w:space="0" w:color="2A3550"/>
          <w:bottom w:val="single" w:sz="6" w:space="0" w:color="2A3550"/>
          <w:right w:val="single" w:sz="6" w:space="0" w:color="2A3550"/>
          <w:insideH w:val="single" w:sz="6" w:space="0" w:color="2A3550"/>
          <w:insideV w:val="single" w:sz="6" w:space="0" w:color="2A3550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0E1726"/>
            <w:tcMar>
              <w:top w:w="110" w:type="dxa"/>
              <w:start w:w="130" w:type="dxa"/>
              <w:bottom w:w="11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-- 1) Re-run the full validation gate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(execute 15_validation_checks.sql)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-- 2) Verify the audit chain end to 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EXEC aud.usp_VerifyChain @FromAuditEventId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-- 3) Confirm no promotion is stuck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* FROM ops.PromotionLedger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WHERE ResultCode IN (N'Pending', N'Quarantined', N'Failed')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ORDER BY StartedUtc;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7FB0E0"/>
                <w:sz w:val="14"/>
              </w:rPr>
              <w:t>-- 4) Confirm the index matches the registry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D6E2F5"/>
                <w:sz w:val="14"/>
              </w:rPr>
              <w:t>SELECT HealthState, COUNT(*) FROM rpt.vwIndexHealth GROUP BY HealthState;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D6DEEA"/>
        </w:pBdr>
      </w:pPr>
      <w:r>
        <w:t>10.  Pre-Production Checklist</w:t>
      </w:r>
    </w:p>
    <w:p>
      <w:pPr>
        <w:spacing w:after="100"/>
      </w:pPr>
      <w:r>
        <w:rPr>
          <w:b w:val="0"/>
          <w:i w:val="0"/>
          <w:sz w:val="18"/>
        </w:rPr>
        <w:t>The database is functional on first deployment, but two items must be closed before it is trusted with live documents, and several others require client confirmation.</w:t>
      </w:r>
    </w:p>
    <w:p>
      <w:pPr>
        <w:pStyle w:val="Heading2"/>
      </w:pPr>
      <w:r>
        <w:t>10.1  Mandatory Before Go-Live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9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62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439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17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Load ref.HolidayCalendar with client-confirmed UAE public holidays.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Until this is done the SLA engine computes targets as if no public holidays exist, so 12- and 30-working-day commitments will be wrong.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HR / PMO (A4)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Confirm the weekend pattern in ref.WorkingWeek.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Seeded as Saturday and Sunday non-working; confirm against actual client practice.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Client HR / PMO (A4)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 ref.DocumentClass, ref.Department and ref.Standard.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These drive SharePoint library resolution and folder paths; placeholder values will publish to the wrong location.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PMO / Records (A2)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Confirm ref.RetentionPolicy schedules and disposition actions.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Placeholder policies must not govern real records.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Records &amp; Compliance (A2)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 ref.SlaTarget values and the at-risk warning window.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Seeded at 12 / 30 working days with 3 / 5-day warnings.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PMO (A3)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Confirm the review chain stage count and roles.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Seeded as a single global four-stage chain; departmental variants are added through the Admin Center.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PMO (A3)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Decide on customer-managed keys and Always Encrypted.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TDE is on with platform-managed keys; CMK is available where client policy requires it.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Security (A9)</w:t>
            </w:r>
          </w:p>
        </w:tc>
      </w:tr>
      <w:tr>
        <w:trPr>
          <w:cantSplit/>
        </w:trPr>
        <w:tc>
          <w:tcPr>
            <w:tcW w:type="dxa" w:w="49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2762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Enable row-level security after the embed-token service is confirmed.</w:t>
            </w:r>
          </w:p>
        </w:tc>
        <w:tc>
          <w:tcPr>
            <w:tcW w:type="dxa" w:w="4439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The policy ships OFF; enabling it prematurely makes every report return zero rows.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5"/>
              </w:rPr>
              <w:t>Architecture / Analytics</w:t>
            </w:r>
          </w:p>
        </w:tc>
      </w:tr>
    </w:tbl>
    <w:p>
      <w:pPr>
        <w:spacing w:after="40"/>
      </w:pPr>
    </w:p>
    <w:p>
      <w:pPr>
        <w:pStyle w:val="Heading2"/>
      </w:pPr>
      <w:r>
        <w:t>10.2  Sign-Off</w:t>
      </w:r>
    </w:p>
    <w:tbl>
      <w:tblPr>
        <w:tblW w:type="auto" w:w="0"/>
        <w:jc w:val="center"/>
        <w:tblBorders>
          <w:top w:val="single" w:sz="4" w:space="0" w:color="D6DEEA"/>
          <w:left w:val="single" w:sz="4" w:space="0" w:color="D6DEEA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551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  <w:tc>
          <w:tcPr>
            <w:tcW w:type="dxa" w:w="4143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170"/>
            <w:shd w:val="clear" w:fill="0F1B33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Signed off by</w:t>
            </w:r>
          </w:p>
        </w:tc>
      </w:tr>
      <w:tr>
        <w:trPr>
          <w:cantSplit/>
        </w:trPr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All 16 scripts executed without error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Deployment log retained with the release manifest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Validation script 15 passed all 22 assertions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Result set captured in the pipeline output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Role membership confirmed for all seven identities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Query output from Section 7.1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Negative access tests all failed as expected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Query output from Section 7.3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Holiday calendar loaded and arithmetic verified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Query output from Section 5.2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b/>
                <w:sz w:val="16"/>
              </w:rPr>
              <w:t>Smoke test passed including the immutability trigger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  <w:t>Query output from Section 6.3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  <w:shd w:val="clear" w:fill="F5F8FC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551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Backup and restore rehearsal completed</w:t>
            </w:r>
          </w:p>
        </w:tc>
        <w:tc>
          <w:tcPr>
            <w:tcW w:type="dxa" w:w="4143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Restore log plus aud.usp_VerifyChain result</w:t>
            </w:r>
          </w:p>
        </w:tc>
        <w:tc>
          <w:tcPr>
            <w:tcW w:type="dxa" w:w="217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Borders>
          <w:top w:val="single" w:sz="4" w:space="0" w:color="D6DEEA"/>
          <w:left w:val="single" w:sz="22" w:space="0" w:color="14705C"/>
          <w:bottom w:val="single" w:sz="4" w:space="0" w:color="D6DEEA"/>
          <w:right w:val="single" w:sz="4" w:space="0" w:color="D6DEEA"/>
          <w:insideH w:val="single" w:sz="4" w:space="0" w:color="D6DEEA"/>
          <w:insideV w:val="single" w:sz="4" w:space="0" w:color="D6DEEA"/>
        </w:tblBorders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fill="E9F4F1"/>
            <w:tcMar>
              <w:top w:w="105" w:type="dxa"/>
              <w:start w:w="14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4705C"/>
                <w:sz w:val="18"/>
              </w:rPr>
              <w:t xml:space="preserve">Deployment complete   </w:t>
            </w:r>
            <w:r>
              <w:rPr>
                <w:sz w:val="17"/>
              </w:rPr>
              <w:t>Once every item in Section 10.1 is closed and the sign-off table in Section 10.2 is complete, the database is ready for the application to be pointed at it. Retain the deployment log, the validation output and the negative-test results with the release manifest as deployment evidence.</w:t>
            </w:r>
          </w:p>
        </w:tc>
      </w:tr>
    </w:tbl>
    <w:p>
      <w:pPr>
        <w:spacing w:after="40"/>
      </w:pPr>
    </w:p>
    <w:p>
      <w:pPr>
        <w:spacing w:after="100"/>
        <w:jc w:val="center"/>
      </w:pPr>
      <w:r>
        <w:rPr>
          <w:b w:val="0"/>
          <w:i/>
          <w:color w:val="5A6B85"/>
          <w:sz w:val="18"/>
        </w:rPr>
        <w:t>— End of Document —</w:t>
      </w:r>
    </w:p>
    <w:sectPr w:rsidR="00FC693F" w:rsidRPr="0006063C" w:rsidSect="00034616">
      <w:pgSz w:w="11906" w:h="16838"/>
      <w:pgMar w:top="1077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85"/>
        <w:sz w:val="14"/>
      </w:rPr>
      <w:t xml:space="preserve">OFFICIAL – Internal   ·   Docaya Azure SQL Deployment Guide v1.3   ·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6" w:space="2" w:color="D6DEEA"/>
      </w:pBdr>
    </w:pPr>
    <w:r>
      <w:rPr>
        <w:b/>
        <w:color w:val="5A6B85"/>
        <w:sz w:val="14"/>
      </w:rPr>
      <w:t>DOCAYA EDMS   ·   AZURE SQL DEPLOYMENT GUIDE   ·  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Segoe UI" w:hAnsi="Segoe UI" w:eastAsia="Segoe UI"/>
      <w:color w:val="0F1B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Segoe UI" w:hAnsi="Segoe UI"/>
      <w:b/>
      <w:bCs/>
      <w:color w:val="1470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1E4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0F1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6B3FD4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