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0"/>
        <w:jc w:val="center"/>
      </w:pPr>
      <w:r>
        <w:rPr>
          <w:b/>
          <w:color w:val="13253A"/>
          <w:sz w:val="58"/>
        </w:rPr>
        <w:t>GrowthSathi Class System</w:t>
      </w:r>
    </w:p>
    <w:p>
      <w:pPr>
        <w:widowControl/>
        <w:jc w:val="center"/>
      </w:pPr>
      <w:r>
        <w:rPr>
          <w:b/>
          <w:color w:val="1677FF"/>
          <w:sz w:val="36"/>
        </w:rPr>
        <w:t>FINAL MASTER DEVELOPMENT SPECIFICATION</w:t>
      </w:r>
    </w:p>
    <w:p>
      <w:pPr>
        <w:widowControl/>
        <w:spacing w:before="280"/>
        <w:jc w:val="center"/>
      </w:pPr>
      <w:r>
        <w:rPr>
          <w:b/>
          <w:color w:val="16A34A"/>
          <w:sz w:val="22"/>
        </w:rPr>
        <w:t>V1 product scope locked for full-system implementation</w:t>
      </w:r>
    </w:p>
    <w:tbl>
      <w:tblPr>
        <w:tblW w:type="auto" w:w="0"/>
        <w:jc w:val="center"/>
        <w:tblLook w:firstColumn="1" w:firstRow="1" w:lastColumn="0" w:lastRow="0" w:noHBand="0" w:noVBand="1" w:val="04A0"/>
      </w:tblPr>
      <w:tblGrid>
        <w:gridCol w:w="10282"/>
      </w:tblGrid>
      <w:tr>
        <w:tc>
          <w:tcPr>
            <w:tcW w:type="dxa" w:w="10282"/>
            <w:shd w:fill="EEF6FF"/>
            <w:vAlign w:val="center"/>
          </w:tcPr>
          <w:p>
            <w:pPr>
              <w:spacing w:after="40"/>
            </w:pPr>
            <w:r>
              <w:rPr>
                <w:b/>
                <w:color w:val="1677FF"/>
                <w:sz w:val="20"/>
              </w:rPr>
              <w:t>Purpose</w:t>
            </w:r>
          </w:p>
          <w:p>
            <w:pPr>
              <w:pStyle w:val="SpecNote"/>
              <w:spacing w:after="80"/>
            </w:pPr>
            <w:r>
              <w:t>This document is the single handoff specification for building the complete GrowthSathi Class System. It connects all approved portal specifications, defines the technical architecture and data model, and gives Codex, ChatGPT Work, Astra, or a software team enough direction to build the full system without inventing new product scope.</w:t>
            </w:r>
          </w:p>
        </w:tc>
      </w:tr>
    </w:tbl>
    <w:p>
      <w:pPr>
        <w:widowControl/>
        <w:spacing w:after="0"/>
      </w:pPr>
    </w:p>
    <w:p>
      <w:pPr>
        <w:widowControl/>
        <w:jc w:val="center"/>
      </w:pPr>
      <w:r>
        <w:rPr>
          <w:color w:val="64748B"/>
          <w:sz w:val="20"/>
        </w:rPr>
        <w:t>Product type: white-label multi-institute web application / PWA for coaching classes</w:t>
      </w:r>
    </w:p>
    <w:p>
      <w:pPr>
        <w:widowControl/>
        <w:jc w:val="center"/>
      </w:pPr>
      <w:r>
        <w:rPr>
          <w:color w:val="64748B"/>
          <w:sz w:val="18"/>
        </w:rPr>
        <w:t>Example institute used in demos: Success Academy</w:t>
      </w:r>
    </w:p>
    <w:p>
      <w:pPr>
        <w:widowControl/>
      </w:pPr>
      <w:r>
        <w:br w:type="page"/>
      </w:r>
    </w:p>
    <w:p>
      <w:pPr>
        <w:pStyle w:val="Heading1"/>
        <w:widowControl/>
      </w:pPr>
      <w:r>
        <w:t>1. How to Use This Specification</w:t>
      </w:r>
    </w:p>
    <w:tbl>
      <w:tblPr>
        <w:tblW w:type="auto" w:w="0"/>
        <w:jc w:val="center"/>
        <w:tblLook w:firstColumn="1" w:firstRow="1" w:lastColumn="0" w:lastRow="0" w:noHBand="0" w:noVBand="1" w:val="04A0"/>
      </w:tblPr>
      <w:tblGrid>
        <w:gridCol w:w="10282"/>
      </w:tblGrid>
      <w:tr>
        <w:tc>
          <w:tcPr>
            <w:tcW w:type="dxa" w:w="10282"/>
            <w:shd w:fill="FFF7ED"/>
            <w:vAlign w:val="center"/>
          </w:tcPr>
          <w:p>
            <w:pPr>
              <w:spacing w:after="40"/>
            </w:pPr>
            <w:r>
              <w:rPr>
                <w:b/>
                <w:color w:val="D97706"/>
                <w:sz w:val="20"/>
              </w:rPr>
              <w:t>Build authority</w:t>
            </w:r>
          </w:p>
          <w:p>
            <w:pPr>
              <w:pStyle w:val="SpecNote"/>
              <w:spacing w:after="80"/>
            </w:pPr>
            <w:r>
              <w:t>If an implementation choice conflicts with this document, stop and resolve the conflict instead of silently changing product scope. The detailed portal specifications remain authoritative for page-level behavior; this master specification is authoritative for architecture, integration, security, data relationships, and full-system workflows.</w:t>
            </w:r>
          </w:p>
        </w:tc>
      </w:tr>
    </w:tbl>
    <w:p>
      <w:pPr>
        <w:widowControl/>
        <w:spacing w:after="0"/>
      </w:pPr>
    </w:p>
    <w:p>
      <w:pPr>
        <w:pStyle w:val="Heading2"/>
        <w:widowControl/>
      </w:pPr>
      <w:r>
        <w:t>Source-of-truth hierarchy</w:t>
      </w:r>
    </w:p>
    <w:p>
      <w:pPr>
        <w:widowControl/>
        <w:spacing w:after="40"/>
        <w:ind w:left="173" w:hanging="173"/>
      </w:pPr>
      <w:r>
        <w:rPr>
          <w:b/>
          <w:color w:val="1677FF"/>
        </w:rPr>
        <w:t xml:space="preserve">1. </w:t>
      </w:r>
      <w:r>
        <w:t>This Final Master Development Specification — architecture, integration, shared rules, data model, security, testing and deployment.</w:t>
      </w:r>
    </w:p>
    <w:p>
      <w:pPr>
        <w:widowControl/>
        <w:spacing w:after="40"/>
        <w:ind w:left="173" w:hanging="173"/>
      </w:pPr>
      <w:r>
        <w:rPr>
          <w:b/>
          <w:color w:val="1677FF"/>
        </w:rPr>
        <w:t xml:space="preserve">2. </w:t>
      </w:r>
      <w:r>
        <w:t>Portal specifications — exact functional behavior for Admin, Teacher, Student, Parent and GrowthSathi Super Admin.</w:t>
      </w:r>
    </w:p>
    <w:p>
      <w:pPr>
        <w:widowControl/>
        <w:spacing w:after="40"/>
        <w:ind w:left="173" w:hanging="173"/>
      </w:pPr>
      <w:r>
        <w:rPr>
          <w:b/>
          <w:color w:val="1677FF"/>
        </w:rPr>
        <w:t xml:space="preserve">3. </w:t>
      </w:r>
      <w:r>
        <w:t>Login &amp; Access Flow Specification — authentication, account states, role routing, password flows and access enforcement.</w:t>
      </w:r>
    </w:p>
    <w:p>
      <w:pPr>
        <w:widowControl/>
        <w:spacing w:after="40"/>
        <w:ind w:left="173" w:hanging="173"/>
      </w:pPr>
      <w:r>
        <w:rPr>
          <w:b/>
          <w:color w:val="1677FF"/>
        </w:rPr>
        <w:t xml:space="preserve">4. </w:t>
      </w:r>
      <w:r>
        <w:t>Admin Figma/export — visual reference for Admin screens only. Where the Figma conflicts with the written Admin specification, the written specification wins.</w:t>
      </w:r>
    </w:p>
    <w:p>
      <w:pPr>
        <w:widowControl/>
        <w:spacing w:after="40"/>
        <w:ind w:left="173" w:hanging="173"/>
      </w:pPr>
      <w:r>
        <w:rPr>
          <w:b/>
          <w:color w:val="1677FF"/>
        </w:rPr>
        <w:t xml:space="preserve">5. </w:t>
      </w:r>
      <w:r>
        <w:t>Implemented code and automated tests — must remain consistent with the approved specifications.</w:t>
      </w:r>
    </w:p>
    <w:p>
      <w:pPr>
        <w:pStyle w:val="Heading2"/>
        <w:widowControl/>
      </w:pPr>
      <w:r>
        <w:t>Companion documents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4608"/>
            <w:shd w:fill="13253A"/>
          </w:tcPr>
          <w:p>
            <w:pPr>
              <w:spacing w:after="0"/>
            </w:pPr>
            <w:r>
              <w:rPr>
                <w:b/>
                <w:color w:val="FFFFFF"/>
                <w:sz w:val="15"/>
              </w:rPr>
              <w:t>Document</w:t>
            </w:r>
          </w:p>
        </w:tc>
        <w:tc>
          <w:tcPr>
            <w:tcW w:type="dxa" w:w="5760"/>
            <w:shd w:fill="13253A"/>
          </w:tcPr>
          <w:p>
            <w:pPr>
              <w:spacing w:after="0"/>
            </w:pPr>
            <w:r>
              <w:rPr>
                <w:b/>
                <w:color w:val="FFFFFF"/>
                <w:sz w:val="15"/>
              </w:rPr>
              <w:t>Role in development</w:t>
            </w:r>
          </w:p>
        </w:tc>
      </w:tr>
      <w:tr>
        <w:tc>
          <w:tcPr>
            <w:tcW w:type="dxa" w:w="4608"/>
            <w:vAlign w:val="top"/>
          </w:tcPr>
          <w:p>
            <w:pPr>
              <w:spacing w:after="0"/>
            </w:pPr>
            <w:r>
              <w:rPr>
                <w:sz w:val="15"/>
              </w:rPr>
              <w:t>GrowthSathi_Class_System_Admin_Portal_Specification.docx</w:t>
            </w:r>
          </w:p>
        </w:tc>
        <w:tc>
          <w:tcPr>
            <w:tcW w:type="dxa" w:w="5760"/>
            <w:vAlign w:val="top"/>
          </w:tcPr>
          <w:p>
            <w:pPr>
              <w:spacing w:after="0"/>
            </w:pPr>
            <w:r>
              <w:rPr>
                <w:sz w:val="15"/>
              </w:rPr>
              <w:t>Detailed institute Admin portal behavior</w:t>
            </w:r>
          </w:p>
        </w:tc>
      </w:tr>
      <w:tr>
        <w:tc>
          <w:tcPr>
            <w:tcW w:type="dxa" w:w="4608"/>
            <w:vAlign w:val="top"/>
            <w:shd w:fill="F8FAFC"/>
          </w:tcPr>
          <w:p>
            <w:pPr>
              <w:spacing w:after="0"/>
            </w:pPr>
            <w:r>
              <w:rPr>
                <w:sz w:val="15"/>
              </w:rPr>
              <w:t>GrowthSathi_Class_System_Teacher_Portal_Specification.docx</w:t>
            </w:r>
          </w:p>
        </w:tc>
        <w:tc>
          <w:tcPr>
            <w:tcW w:type="dxa" w:w="5760"/>
            <w:vAlign w:val="top"/>
            <w:shd w:fill="F8FAFC"/>
          </w:tcPr>
          <w:p>
            <w:pPr>
              <w:spacing w:after="0"/>
            </w:pPr>
            <w:r>
              <w:rPr>
                <w:sz w:val="15"/>
              </w:rPr>
              <w:t>Detailed Teacher portal behavior</w:t>
            </w:r>
          </w:p>
        </w:tc>
      </w:tr>
      <w:tr>
        <w:tc>
          <w:tcPr>
            <w:tcW w:type="dxa" w:w="4608"/>
            <w:vAlign w:val="top"/>
          </w:tcPr>
          <w:p>
            <w:pPr>
              <w:spacing w:after="0"/>
            </w:pPr>
            <w:r>
              <w:rPr>
                <w:sz w:val="15"/>
              </w:rPr>
              <w:t>GrowthSathi_Class_System_Student_Portal_Specification.docx</w:t>
            </w:r>
          </w:p>
        </w:tc>
        <w:tc>
          <w:tcPr>
            <w:tcW w:type="dxa" w:w="5760"/>
            <w:vAlign w:val="top"/>
          </w:tcPr>
          <w:p>
            <w:pPr>
              <w:spacing w:after="0"/>
            </w:pPr>
            <w:r>
              <w:rPr>
                <w:sz w:val="15"/>
              </w:rPr>
              <w:t>Detailed Student portal behavior</w:t>
            </w:r>
          </w:p>
        </w:tc>
      </w:tr>
      <w:tr>
        <w:tc>
          <w:tcPr>
            <w:tcW w:type="dxa" w:w="4608"/>
            <w:vAlign w:val="top"/>
            <w:shd w:fill="F8FAFC"/>
          </w:tcPr>
          <w:p>
            <w:pPr>
              <w:spacing w:after="0"/>
            </w:pPr>
            <w:r>
              <w:rPr>
                <w:sz w:val="15"/>
              </w:rPr>
              <w:t>GrowthSathi_Class_System_Parent_Portal_Specification.docx</w:t>
            </w:r>
          </w:p>
        </w:tc>
        <w:tc>
          <w:tcPr>
            <w:tcW w:type="dxa" w:w="5760"/>
            <w:vAlign w:val="top"/>
            <w:shd w:fill="F8FAFC"/>
          </w:tcPr>
          <w:p>
            <w:pPr>
              <w:spacing w:after="0"/>
            </w:pPr>
            <w:r>
              <w:rPr>
                <w:sz w:val="15"/>
              </w:rPr>
              <w:t>Detailed Parent portal behavior</w:t>
            </w:r>
          </w:p>
        </w:tc>
      </w:tr>
      <w:tr>
        <w:tc>
          <w:tcPr>
            <w:tcW w:type="dxa" w:w="4608"/>
            <w:vAlign w:val="top"/>
          </w:tcPr>
          <w:p>
            <w:pPr>
              <w:spacing w:after="0"/>
            </w:pPr>
            <w:r>
              <w:rPr>
                <w:sz w:val="15"/>
              </w:rPr>
              <w:t>GrowthSathi_Class_System_Super_Admin_Specification.docx</w:t>
            </w:r>
          </w:p>
        </w:tc>
        <w:tc>
          <w:tcPr>
            <w:tcW w:type="dxa" w:w="5760"/>
            <w:vAlign w:val="top"/>
          </w:tcPr>
          <w:p>
            <w:pPr>
              <w:spacing w:after="0"/>
            </w:pPr>
            <w:r>
              <w:rPr>
                <w:sz w:val="15"/>
              </w:rPr>
              <w:t>GrowthSathi operator/client-management behavior</w:t>
            </w:r>
          </w:p>
        </w:tc>
      </w:tr>
      <w:tr>
        <w:tc>
          <w:tcPr>
            <w:tcW w:type="dxa" w:w="4608"/>
            <w:vAlign w:val="top"/>
            <w:shd w:fill="F8FAFC"/>
          </w:tcPr>
          <w:p>
            <w:pPr>
              <w:spacing w:after="0"/>
            </w:pPr>
            <w:r>
              <w:rPr>
                <w:sz w:val="15"/>
              </w:rPr>
              <w:t>GrowthSathi_Class_System_Login_Access_Flow_Specification.docx</w:t>
            </w:r>
          </w:p>
        </w:tc>
        <w:tc>
          <w:tcPr>
            <w:tcW w:type="dxa" w:w="5760"/>
            <w:vAlign w:val="top"/>
            <w:shd w:fill="F8FAFC"/>
          </w:tcPr>
          <w:p>
            <w:pPr>
              <w:spacing w:after="0"/>
            </w:pPr>
            <w:r>
              <w:rPr>
                <w:sz w:val="15"/>
              </w:rPr>
              <w:t>Authentication and account-access rules</w:t>
            </w:r>
          </w:p>
        </w:tc>
      </w:tr>
      <w:tr>
        <w:tc>
          <w:tcPr>
            <w:tcW w:type="dxa" w:w="4608"/>
            <w:vAlign w:val="top"/>
          </w:tcPr>
          <w:p>
            <w:pPr>
              <w:spacing w:after="0"/>
            </w:pPr>
            <w:r>
              <w:rPr>
                <w:sz w:val="15"/>
              </w:rPr>
              <w:t>GrowthSathi_Class_System_Whole_Project_Blueprint.docx</w:t>
            </w:r>
          </w:p>
        </w:tc>
        <w:tc>
          <w:tcPr>
            <w:tcW w:type="dxa" w:w="5760"/>
            <w:vAlign w:val="top"/>
          </w:tcPr>
          <w:p>
            <w:pPr>
              <w:spacing w:after="0"/>
            </w:pPr>
            <w:r>
              <w:rPr>
                <w:sz w:val="15"/>
              </w:rPr>
              <w:t>Plain-language product understanding and context</w:t>
            </w:r>
          </w:p>
        </w:tc>
      </w:tr>
    </w:tbl>
    <w:p>
      <w:pPr>
        <w:widowControl/>
        <w:spacing w:after="20"/>
      </w:pPr>
    </w:p>
    <w:p>
      <w:pPr>
        <w:widowControl/>
      </w:pPr>
      <w:r>
        <w:br w:type="page"/>
      </w:r>
    </w:p>
    <w:p>
      <w:pPr>
        <w:pStyle w:val="Heading1"/>
        <w:widowControl/>
      </w:pPr>
      <w:r>
        <w:t>2. Product Definition &amp; Business Model</w:t>
      </w:r>
    </w:p>
    <w:tbl>
      <w:tblPr>
        <w:tblW w:type="auto" w:w="0"/>
        <w:jc w:val="center"/>
        <w:tblLook w:firstColumn="1" w:firstRow="1" w:lastColumn="0" w:lastRow="0" w:noHBand="0" w:noVBand="1" w:val="04A0"/>
      </w:tblPr>
      <w:tblGrid>
        <w:gridCol w:w="10282"/>
      </w:tblGrid>
      <w:tr>
        <w:tc>
          <w:tcPr>
            <w:tcW w:type="dxa" w:w="10282"/>
            <w:shd w:fill="F1F5F9"/>
            <w:vAlign w:val="center"/>
          </w:tcPr>
          <w:p>
            <w:pPr>
              <w:spacing w:after="40"/>
            </w:pPr>
            <w:r>
              <w:rPr>
                <w:b/>
                <w:color w:val="13253A"/>
                <w:sz w:val="20"/>
              </w:rPr>
              <w:t>Core product</w:t>
            </w:r>
          </w:p>
          <w:p>
            <w:pPr>
              <w:pStyle w:val="SpecNote"/>
              <w:spacing w:after="80"/>
            </w:pPr>
            <w:r>
              <w:t>One reusable software engine becomes a private branded class-management system for each coaching institute. Every institute gets its own identity and isolated data, while GrowthSathi maintains one shared codebase.</w:t>
            </w:r>
          </w:p>
        </w:tc>
      </w:tr>
    </w:tbl>
    <w:p>
      <w:pPr>
        <w:widowControl/>
        <w:spacing w:after="0"/>
      </w:pPr>
    </w:p>
    <w:p>
      <w:pPr>
        <w:pStyle w:val="ListBullet"/>
        <w:widowControl/>
        <w:spacing w:after="26"/>
        <w:ind w:left="288"/>
      </w:pPr>
      <w:r>
        <w:t>The product is a web application first and must be responsive for desktop, tablet and mobile.</w:t>
      </w:r>
    </w:p>
    <w:p>
      <w:pPr>
        <w:pStyle w:val="ListBullet"/>
        <w:widowControl/>
        <w:spacing w:after="26"/>
        <w:ind w:left="288"/>
      </w:pPr>
      <w:r>
        <w:t>The product should support PWA installation so users can add the institute portal to a phone home screen.</w:t>
      </w:r>
    </w:p>
    <w:p>
      <w:pPr>
        <w:pStyle w:val="ListBullet"/>
        <w:widowControl/>
        <w:spacing w:after="26"/>
        <w:ind w:left="288"/>
      </w:pPr>
      <w:r>
        <w:t>Each institute can start on a GrowthSathi subdomain and later use a custom domain.</w:t>
      </w:r>
    </w:p>
    <w:p>
      <w:pPr>
        <w:pStyle w:val="ListBullet"/>
        <w:widowControl/>
        <w:spacing w:after="26"/>
        <w:ind w:left="288"/>
      </w:pPr>
      <w:r>
        <w:t>Each institute has its own Admin, Teacher, Student and Parent users.</w:t>
      </w:r>
    </w:p>
    <w:p>
      <w:pPr>
        <w:pStyle w:val="ListBullet"/>
        <w:widowControl/>
        <w:spacing w:after="26"/>
        <w:ind w:left="288"/>
      </w:pPr>
      <w:r>
        <w:t>GrowthSathi has a separate Super Admin workspace that manages institutes, branding/domains, plans, status and usage/support.</w:t>
      </w:r>
    </w:p>
    <w:p>
      <w:pPr>
        <w:pStyle w:val="ListBullet"/>
        <w:widowControl/>
        <w:spacing w:after="26"/>
        <w:ind w:left="288"/>
      </w:pPr>
      <w:r>
        <w:t>The product is not a generic public GrowthSathi portal. End users should primarily experience the institute’s own identity.</w:t>
      </w:r>
    </w:p>
    <w:p>
      <w:pPr>
        <w:pStyle w:val="Heading2"/>
        <w:widowControl/>
      </w:pPr>
      <w:r>
        <w:t>Example multi-client outcome</w:t>
      </w:r>
    </w:p>
    <w:tbl>
      <w:tblPr>
        <w:tblStyle w:val="TableGrid"/>
        <w:tblW w:type="auto" w:w="0"/>
        <w:jc w:val="center"/>
        <w:tblLook w:firstColumn="1" w:firstRow="1" w:lastColumn="0" w:lastRow="0" w:noHBand="0" w:noVBand="1" w:val="04A0"/>
      </w:tblPr>
      <w:tblGrid>
        <w:gridCol w:w="10282"/>
      </w:tblGrid>
      <w:tr>
        <w:tc>
          <w:tcPr>
            <w:tcW w:type="dxa" w:w="10282"/>
            <w:shd w:fill="F8FAFC"/>
          </w:tcPr>
          <w:p>
            <w:pPr>
              <w:pStyle w:val="Codeish"/>
              <w:spacing w:after="0"/>
            </w:pPr>
            <w:r/>
            <w:r>
              <w:t>One shared product codebase</w:t>
            </w:r>
          </w:p>
          <w:p>
            <w:pPr>
              <w:pStyle w:val="Codeish"/>
              <w:spacing w:after="0"/>
            </w:pPr>
            <w:r>
              <w:t xml:space="preserve">    |</w:t>
            </w:r>
          </w:p>
          <w:p>
            <w:pPr>
              <w:pStyle w:val="Codeish"/>
              <w:spacing w:after="0"/>
            </w:pPr>
            <w:r>
              <w:t xml:space="preserve">    +-- Success Academy  -&gt; success.growthsathi.app / portal.successacademy.in</w:t>
            </w:r>
          </w:p>
          <w:p>
            <w:pPr>
              <w:pStyle w:val="Codeish"/>
              <w:spacing w:after="0"/>
            </w:pPr>
            <w:r>
              <w:t xml:space="preserve">    |      +-- Admin / Teachers / Students / Parents</w:t>
            </w:r>
          </w:p>
          <w:p>
            <w:pPr>
              <w:pStyle w:val="Codeish"/>
              <w:spacing w:after="0"/>
            </w:pPr>
            <w:r>
              <w:t xml:space="preserve">    |</w:t>
            </w:r>
          </w:p>
          <w:p>
            <w:pPr>
              <w:pStyle w:val="Codeish"/>
              <w:spacing w:after="0"/>
            </w:pPr>
            <w:r>
              <w:t xml:space="preserve">    +-- Bright Classes   -&gt; bright.growthsathi.app / portal.brightclasses.in</w:t>
            </w:r>
          </w:p>
          <w:p>
            <w:pPr>
              <w:pStyle w:val="Codeish"/>
              <w:spacing w:after="0"/>
            </w:pPr>
            <w:r>
              <w:t xml:space="preserve">           +-- Admin / Teachers / Students / Parents</w:t>
            </w:r>
          </w:p>
          <w:p>
            <w:pPr>
              <w:pStyle w:val="Codeish"/>
              <w:spacing w:after="0"/>
            </w:pPr>
            <w:r/>
          </w:p>
          <w:p>
            <w:pPr>
              <w:pStyle w:val="Codeish"/>
              <w:spacing w:after="0"/>
            </w:pPr>
            <w:r>
              <w:t>Client data must never mix.</w:t>
            </w:r>
          </w:p>
        </w:tc>
      </w:tr>
    </w:tbl>
    <w:p>
      <w:pPr>
        <w:widowControl/>
        <w:spacing w:after="0"/>
      </w:pPr>
    </w:p>
    <w:p>
      <w:pPr>
        <w:pStyle w:val="Heading2"/>
        <w:widowControl/>
      </w:pPr>
      <w:r>
        <w:t>Commercial model supported by the software</w:t>
      </w:r>
    </w:p>
    <w:p>
      <w:pPr>
        <w:pStyle w:val="ListBullet"/>
        <w:widowControl/>
        <w:spacing w:after="26"/>
        <w:ind w:left="288"/>
      </w:pPr>
      <w:r>
        <w:t>One-time institute setup/onboarding fee can be charged outside the software.</w:t>
      </w:r>
    </w:p>
    <w:p>
      <w:pPr>
        <w:pStyle w:val="ListBullet"/>
        <w:widowControl/>
        <w:spacing w:after="26"/>
        <w:ind w:left="288"/>
      </w:pPr>
      <w:r>
        <w:t>Recurring monthly or yearly subscription/plan is represented in Super Admin.</w:t>
      </w:r>
    </w:p>
    <w:p>
      <w:pPr>
        <w:pStyle w:val="ListBullet"/>
        <w:widowControl/>
        <w:spacing w:after="26"/>
        <w:ind w:left="288"/>
      </w:pPr>
      <w:r>
        <w:t>Plan may carry student/storage limits and enabled capabilities.</w:t>
      </w:r>
    </w:p>
    <w:p>
      <w:pPr>
        <w:pStyle w:val="ListBullet"/>
        <w:widowControl/>
        <w:spacing w:after="26"/>
        <w:ind w:left="288"/>
      </w:pPr>
      <w:r>
        <w:t>Payment processing for GrowthSathi subscription billing does not need to be automated in V1; plan/payment status can be managed manually by Super Admin.</w:t>
      </w:r>
    </w:p>
    <w:p>
      <w:pPr>
        <w:widowControl/>
      </w:pPr>
      <w:r>
        <w:br w:type="page"/>
      </w:r>
    </w:p>
    <w:p>
      <w:pPr>
        <w:pStyle w:val="Heading1"/>
        <w:widowControl/>
      </w:pPr>
      <w:r>
        <w:t>3. V1 Scope — Portals and Navigation</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shd w:fill="13253A"/>
          </w:tcPr>
          <w:p>
            <w:pPr>
              <w:spacing w:after="0"/>
            </w:pPr>
            <w:r>
              <w:rPr>
                <w:b/>
                <w:color w:val="FFFFFF"/>
                <w:sz w:val="15"/>
              </w:rPr>
              <w:t>Portal</w:t>
            </w:r>
          </w:p>
        </w:tc>
        <w:tc>
          <w:tcPr>
            <w:tcW w:type="dxa" w:w="8136"/>
            <w:shd w:fill="13253A"/>
          </w:tcPr>
          <w:p>
            <w:pPr>
              <w:spacing w:after="0"/>
            </w:pPr>
            <w:r>
              <w:rPr>
                <w:b/>
                <w:color w:val="FFFFFF"/>
                <w:sz w:val="15"/>
              </w:rPr>
              <w:t>Final main navigation</w:t>
            </w:r>
          </w:p>
        </w:tc>
      </w:tr>
      <w:tr>
        <w:tc>
          <w:tcPr>
            <w:tcW w:type="dxa" w:w="2232"/>
            <w:vAlign w:val="top"/>
          </w:tcPr>
          <w:p>
            <w:pPr>
              <w:spacing w:after="0"/>
            </w:pPr>
            <w:r>
              <w:rPr>
                <w:sz w:val="15"/>
              </w:rPr>
              <w:t>Institute Admin</w:t>
            </w:r>
          </w:p>
        </w:tc>
        <w:tc>
          <w:tcPr>
            <w:tcW w:type="dxa" w:w="8136"/>
            <w:vAlign w:val="top"/>
          </w:tcPr>
          <w:p>
            <w:pPr>
              <w:spacing w:after="0"/>
            </w:pPr>
            <w:r>
              <w:rPr>
                <w:sz w:val="15"/>
              </w:rPr>
              <w:t>Dashboard; Students; Teachers; Parents; Batches; Timetable; Attendance; Fees; Notes &amp; Materials; Exams; Results; Announcements; Settings</w:t>
            </w:r>
          </w:p>
        </w:tc>
      </w:tr>
      <w:tr>
        <w:tc>
          <w:tcPr>
            <w:tcW w:type="dxa" w:w="2232"/>
            <w:vAlign w:val="top"/>
            <w:shd w:fill="F8FAFC"/>
          </w:tcPr>
          <w:p>
            <w:pPr>
              <w:spacing w:after="0"/>
            </w:pPr>
            <w:r>
              <w:rPr>
                <w:sz w:val="15"/>
              </w:rPr>
              <w:t>Teacher</w:t>
            </w:r>
          </w:p>
        </w:tc>
        <w:tc>
          <w:tcPr>
            <w:tcW w:type="dxa" w:w="8136"/>
            <w:vAlign w:val="top"/>
            <w:shd w:fill="F8FAFC"/>
          </w:tcPr>
          <w:p>
            <w:pPr>
              <w:spacing w:after="0"/>
            </w:pPr>
            <w:r>
              <w:rPr>
                <w:sz w:val="15"/>
              </w:rPr>
              <w:t>Dashboard; My Batches; Timetable; Attendance; Notes &amp; Materials; Exams; Results; Announcements; Profile</w:t>
            </w:r>
          </w:p>
        </w:tc>
      </w:tr>
      <w:tr>
        <w:tc>
          <w:tcPr>
            <w:tcW w:type="dxa" w:w="2232"/>
            <w:vAlign w:val="top"/>
          </w:tcPr>
          <w:p>
            <w:pPr>
              <w:spacing w:after="0"/>
            </w:pPr>
            <w:r>
              <w:rPr>
                <w:sz w:val="15"/>
              </w:rPr>
              <w:t>Student</w:t>
            </w:r>
          </w:p>
        </w:tc>
        <w:tc>
          <w:tcPr>
            <w:tcW w:type="dxa" w:w="8136"/>
            <w:vAlign w:val="top"/>
          </w:tcPr>
          <w:p>
            <w:pPr>
              <w:spacing w:after="0"/>
            </w:pPr>
            <w:r>
              <w:rPr>
                <w:sz w:val="15"/>
              </w:rPr>
              <w:t>Dashboard; Timetable; Attendance; Fees; Notes &amp; Materials; Exams; Results; Announcements; Profile</w:t>
            </w:r>
          </w:p>
        </w:tc>
      </w:tr>
      <w:tr>
        <w:tc>
          <w:tcPr>
            <w:tcW w:type="dxa" w:w="2232"/>
            <w:vAlign w:val="top"/>
            <w:shd w:fill="F8FAFC"/>
          </w:tcPr>
          <w:p>
            <w:pPr>
              <w:spacing w:after="0"/>
            </w:pPr>
            <w:r>
              <w:rPr>
                <w:sz w:val="15"/>
              </w:rPr>
              <w:t>Parent</w:t>
            </w:r>
          </w:p>
        </w:tc>
        <w:tc>
          <w:tcPr>
            <w:tcW w:type="dxa" w:w="8136"/>
            <w:vAlign w:val="top"/>
            <w:shd w:fill="F8FAFC"/>
          </w:tcPr>
          <w:p>
            <w:pPr>
              <w:spacing w:after="0"/>
            </w:pPr>
            <w:r>
              <w:rPr>
                <w:sz w:val="15"/>
              </w:rPr>
              <w:t>Dashboard; Attendance; Fees; Exams; Results; Announcements; Child Profile; My Profile</w:t>
            </w:r>
          </w:p>
        </w:tc>
      </w:tr>
      <w:tr>
        <w:tc>
          <w:tcPr>
            <w:tcW w:type="dxa" w:w="2232"/>
            <w:vAlign w:val="top"/>
          </w:tcPr>
          <w:p>
            <w:pPr>
              <w:spacing w:after="0"/>
            </w:pPr>
            <w:r>
              <w:rPr>
                <w:sz w:val="15"/>
              </w:rPr>
              <w:t>GrowthSathi Super Admin</w:t>
            </w:r>
          </w:p>
        </w:tc>
        <w:tc>
          <w:tcPr>
            <w:tcW w:type="dxa" w:w="8136"/>
            <w:vAlign w:val="top"/>
          </w:tcPr>
          <w:p>
            <w:pPr>
              <w:spacing w:after="0"/>
            </w:pPr>
            <w:r>
              <w:rPr>
                <w:sz w:val="15"/>
              </w:rPr>
              <w:t>Dashboard; Institutes; Create Institute; Subscriptions; Domains / Branding; Usage &amp; Support</w:t>
            </w:r>
          </w:p>
        </w:tc>
      </w:tr>
    </w:tbl>
    <w:p>
      <w:pPr>
        <w:widowControl/>
        <w:spacing w:after="20"/>
      </w:pPr>
    </w:p>
    <w:p>
      <w:pPr>
        <w:pStyle w:val="Heading2"/>
        <w:widowControl/>
      </w:pPr>
      <w:r>
        <w:t>Explicitly excluded as standalone V1 modules</w:t>
      </w:r>
    </w:p>
    <w:p>
      <w:pPr>
        <w:pStyle w:val="ListBullet"/>
        <w:widowControl/>
        <w:spacing w:after="26"/>
        <w:ind w:left="288"/>
      </w:pPr>
      <w:r>
        <w:t>Admission / enquiry CRM</w:t>
      </w:r>
    </w:p>
    <w:p>
      <w:pPr>
        <w:pStyle w:val="ListBullet"/>
        <w:widowControl/>
        <w:spacing w:after="26"/>
        <w:ind w:left="288"/>
      </w:pPr>
      <w:r>
        <w:t>Homework / assignments</w:t>
      </w:r>
    </w:p>
    <w:p>
      <w:pPr>
        <w:pStyle w:val="ListBullet"/>
        <w:widowControl/>
        <w:spacing w:after="26"/>
        <w:ind w:left="288"/>
      </w:pPr>
      <w:r>
        <w:t>Separate Reports module</w:t>
      </w:r>
    </w:p>
    <w:p>
      <w:pPr>
        <w:pStyle w:val="ListBullet"/>
        <w:widowControl/>
        <w:spacing w:after="26"/>
        <w:ind w:left="288"/>
      </w:pPr>
      <w:r>
        <w:t>Calendar / holidays module</w:t>
      </w:r>
    </w:p>
    <w:p>
      <w:pPr>
        <w:pStyle w:val="ListBullet"/>
        <w:widowControl/>
        <w:spacing w:after="26"/>
        <w:ind w:left="288"/>
      </w:pPr>
      <w:r>
        <w:t>Separate Notifications management module</w:t>
      </w:r>
    </w:p>
    <w:p>
      <w:pPr>
        <w:pStyle w:val="ListBullet"/>
        <w:widowControl/>
        <w:spacing w:after="26"/>
        <w:ind w:left="288"/>
      </w:pPr>
      <w:r>
        <w:t>Separate Student Documents module</w:t>
      </w:r>
    </w:p>
    <w:p>
      <w:pPr>
        <w:pStyle w:val="ListBullet"/>
        <w:widowControl/>
        <w:spacing w:after="26"/>
        <w:ind w:left="288"/>
      </w:pPr>
      <w:r>
        <w:t>Library, hostel, transport, payroll, cafeteria or inventory ERP</w:t>
      </w:r>
    </w:p>
    <w:p>
      <w:pPr>
        <w:pStyle w:val="ListBullet"/>
        <w:widowControl/>
        <w:spacing w:after="26"/>
        <w:ind w:left="288"/>
      </w:pPr>
      <w:r>
        <w:t>Live-video teaching platform / Zoom replacement</w:t>
      </w:r>
    </w:p>
    <w:p>
      <w:pPr>
        <w:pStyle w:val="ListBullet"/>
        <w:widowControl/>
        <w:spacing w:after="26"/>
        <w:ind w:left="288"/>
      </w:pPr>
      <w:r>
        <w:t>Course marketplace or public course-selling product</w:t>
      </w:r>
    </w:p>
    <w:p>
      <w:pPr>
        <w:pStyle w:val="ListBullet"/>
        <w:widowControl/>
        <w:spacing w:after="26"/>
        <w:ind w:left="288"/>
      </w:pPr>
      <w:r>
        <w:t>Advanced accounting / GST / bookkeeping system</w:t>
      </w:r>
    </w:p>
    <w:tbl>
      <w:tblPr>
        <w:tblW w:type="auto" w:w="0"/>
        <w:jc w:val="center"/>
        <w:tblLook w:firstColumn="1" w:firstRow="1" w:lastColumn="0" w:lastRow="0" w:noHBand="0" w:noVBand="1" w:val="04A0"/>
      </w:tblPr>
      <w:tblGrid>
        <w:gridCol w:w="10282"/>
      </w:tblGrid>
      <w:tr>
        <w:tc>
          <w:tcPr>
            <w:tcW w:type="dxa" w:w="10282"/>
            <w:shd w:fill="ECFDF5"/>
            <w:vAlign w:val="center"/>
          </w:tcPr>
          <w:p>
            <w:pPr>
              <w:spacing w:after="40"/>
            </w:pPr>
            <w:r>
              <w:rPr>
                <w:b/>
                <w:color w:val="16A34A"/>
                <w:sz w:val="20"/>
              </w:rPr>
              <w:t>Moved functionality</w:t>
            </w:r>
          </w:p>
          <w:p>
            <w:pPr>
              <w:pStyle w:val="SpecNote"/>
              <w:spacing w:after="80"/>
            </w:pPr>
            <w:r>
              <w:t>Reports live inside their relevant modules; student documents live inside Student Profile; events/holidays are handled through Announcements and Timetable; notifications are event-driven rather than a separate management product.</w:t>
            </w:r>
          </w:p>
        </w:tc>
      </w:tr>
    </w:tbl>
    <w:p>
      <w:pPr>
        <w:widowControl/>
        <w:spacing w:after="0"/>
      </w:pPr>
    </w:p>
    <w:p>
      <w:pPr>
        <w:widowControl/>
      </w:pPr>
      <w:r>
        <w:br w:type="page"/>
      </w:r>
    </w:p>
    <w:p>
      <w:pPr>
        <w:pStyle w:val="Heading1"/>
        <w:widowControl/>
      </w:pPr>
      <w:r>
        <w:t>4. System Architecture</w:t>
      </w:r>
    </w:p>
    <w:p>
      <w:pPr>
        <w:pStyle w:val="Heading2"/>
        <w:widowControl/>
      </w:pPr>
      <w:r>
        <w:t>Locked architecture for V1</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88"/>
            <w:shd w:fill="13253A"/>
          </w:tcPr>
          <w:p>
            <w:pPr>
              <w:spacing w:after="0"/>
            </w:pPr>
            <w:r>
              <w:rPr>
                <w:b/>
                <w:color w:val="FFFFFF"/>
                <w:sz w:val="15"/>
              </w:rPr>
              <w:t>Layer</w:t>
            </w:r>
          </w:p>
        </w:tc>
        <w:tc>
          <w:tcPr>
            <w:tcW w:type="dxa" w:w="8280"/>
            <w:shd w:fill="13253A"/>
          </w:tcPr>
          <w:p>
            <w:pPr>
              <w:spacing w:after="0"/>
            </w:pPr>
            <w:r>
              <w:rPr>
                <w:b/>
                <w:color w:val="FFFFFF"/>
                <w:sz w:val="15"/>
              </w:rPr>
              <w:t>Technology / responsibility</w:t>
            </w:r>
          </w:p>
        </w:tc>
      </w:tr>
      <w:tr>
        <w:tc>
          <w:tcPr>
            <w:tcW w:type="dxa" w:w="2088"/>
            <w:vAlign w:val="top"/>
          </w:tcPr>
          <w:p>
            <w:pPr>
              <w:spacing w:after="0"/>
            </w:pPr>
            <w:r>
              <w:rPr>
                <w:sz w:val="14"/>
              </w:rPr>
              <w:t>Frontend</w:t>
            </w:r>
          </w:p>
        </w:tc>
        <w:tc>
          <w:tcPr>
            <w:tcW w:type="dxa" w:w="8280"/>
            <w:vAlign w:val="top"/>
          </w:tcPr>
          <w:p>
            <w:pPr>
              <w:spacing w:after="0"/>
            </w:pPr>
            <w:r>
              <w:rPr>
                <w:sz w:val="14"/>
              </w:rPr>
              <w:t>Next.js + TypeScript responsive web application; PWA-capable; shared design system for all portals</w:t>
            </w:r>
          </w:p>
        </w:tc>
      </w:tr>
      <w:tr>
        <w:tc>
          <w:tcPr>
            <w:tcW w:type="dxa" w:w="2088"/>
            <w:vAlign w:val="top"/>
            <w:shd w:fill="F8FAFC"/>
          </w:tcPr>
          <w:p>
            <w:pPr>
              <w:spacing w:after="0"/>
            </w:pPr>
            <w:r>
              <w:rPr>
                <w:sz w:val="14"/>
              </w:rPr>
              <w:t>Backend</w:t>
            </w:r>
          </w:p>
        </w:tc>
        <w:tc>
          <w:tcPr>
            <w:tcW w:type="dxa" w:w="8280"/>
            <w:vAlign w:val="top"/>
            <w:shd w:fill="F8FAFC"/>
          </w:tcPr>
          <w:p>
            <w:pPr>
              <w:spacing w:after="0"/>
            </w:pPr>
            <w:r>
              <w:rPr>
                <w:sz w:val="14"/>
              </w:rPr>
              <w:t>Python + Django + Django REST Framework; business rules, permissions, validation, APIs and audit behavior</w:t>
            </w:r>
          </w:p>
        </w:tc>
      </w:tr>
      <w:tr>
        <w:tc>
          <w:tcPr>
            <w:tcW w:type="dxa" w:w="2088"/>
            <w:vAlign w:val="top"/>
          </w:tcPr>
          <w:p>
            <w:pPr>
              <w:spacing w:after="0"/>
            </w:pPr>
            <w:r>
              <w:rPr>
                <w:sz w:val="14"/>
              </w:rPr>
              <w:t>Database</w:t>
            </w:r>
          </w:p>
        </w:tc>
        <w:tc>
          <w:tcPr>
            <w:tcW w:type="dxa" w:w="8280"/>
            <w:vAlign w:val="top"/>
          </w:tcPr>
          <w:p>
            <w:pPr>
              <w:spacing w:after="0"/>
            </w:pPr>
            <w:r>
              <w:rPr>
                <w:sz w:val="14"/>
              </w:rPr>
              <w:t>PostgreSQL; single logical application database with strict institute/tenant ownership on tenant data</w:t>
            </w:r>
          </w:p>
        </w:tc>
      </w:tr>
      <w:tr>
        <w:tc>
          <w:tcPr>
            <w:tcW w:type="dxa" w:w="2088"/>
            <w:vAlign w:val="top"/>
            <w:shd w:fill="F8FAFC"/>
          </w:tcPr>
          <w:p>
            <w:pPr>
              <w:spacing w:after="0"/>
            </w:pPr>
            <w:r>
              <w:rPr>
                <w:sz w:val="14"/>
              </w:rPr>
              <w:t>File storage</w:t>
            </w:r>
          </w:p>
        </w:tc>
        <w:tc>
          <w:tcPr>
            <w:tcW w:type="dxa" w:w="8280"/>
            <w:vAlign w:val="top"/>
            <w:shd w:fill="F8FAFC"/>
          </w:tcPr>
          <w:p>
            <w:pPr>
              <w:spacing w:after="0"/>
            </w:pPr>
            <w:r>
              <w:rPr>
                <w:sz w:val="14"/>
              </w:rPr>
              <w:t>S3-compatible object storage or equivalent for logos, profile images, notes/materials and generated receipts/report cards</w:t>
            </w:r>
          </w:p>
        </w:tc>
      </w:tr>
      <w:tr>
        <w:tc>
          <w:tcPr>
            <w:tcW w:type="dxa" w:w="2088"/>
            <w:vAlign w:val="top"/>
          </w:tcPr>
          <w:p>
            <w:pPr>
              <w:spacing w:after="0"/>
            </w:pPr>
            <w:r>
              <w:rPr>
                <w:sz w:val="14"/>
              </w:rPr>
              <w:t>Authentication</w:t>
            </w:r>
          </w:p>
        </w:tc>
        <w:tc>
          <w:tcPr>
            <w:tcW w:type="dxa" w:w="8280"/>
            <w:vAlign w:val="top"/>
          </w:tcPr>
          <w:p>
            <w:pPr>
              <w:spacing w:after="0"/>
            </w:pPr>
            <w:r>
              <w:rPr>
                <w:sz w:val="14"/>
              </w:rPr>
              <w:t>Django/DRF authentication with short-lived access + refresh flow; secure HttpOnly/Secure cookie storage preferred; no auth tokens in localStorage</w:t>
            </w:r>
          </w:p>
        </w:tc>
      </w:tr>
      <w:tr>
        <w:tc>
          <w:tcPr>
            <w:tcW w:type="dxa" w:w="2088"/>
            <w:vAlign w:val="top"/>
            <w:shd w:fill="F8FAFC"/>
          </w:tcPr>
          <w:p>
            <w:pPr>
              <w:spacing w:after="0"/>
            </w:pPr>
            <w:r>
              <w:rPr>
                <w:sz w:val="14"/>
              </w:rPr>
              <w:t>Web push / in-app alerts</w:t>
            </w:r>
          </w:p>
        </w:tc>
        <w:tc>
          <w:tcPr>
            <w:tcW w:type="dxa" w:w="8280"/>
            <w:vAlign w:val="top"/>
            <w:shd w:fill="F8FAFC"/>
          </w:tcPr>
          <w:p>
            <w:pPr>
              <w:spacing w:after="0"/>
            </w:pPr>
            <w:r>
              <w:rPr>
                <w:sz w:val="14"/>
              </w:rPr>
              <w:t>Event-driven notification service; browser/PWA push when user permission exists; in-app bell/notification feed for recent relevant events</w:t>
            </w:r>
          </w:p>
        </w:tc>
      </w:tr>
      <w:tr>
        <w:tc>
          <w:tcPr>
            <w:tcW w:type="dxa" w:w="2088"/>
            <w:vAlign w:val="top"/>
          </w:tcPr>
          <w:p>
            <w:pPr>
              <w:spacing w:after="0"/>
            </w:pPr>
            <w:r>
              <w:rPr>
                <w:sz w:val="14"/>
              </w:rPr>
              <w:t>Hosting</w:t>
            </w:r>
          </w:p>
        </w:tc>
        <w:tc>
          <w:tcPr>
            <w:tcW w:type="dxa" w:w="8280"/>
            <w:vAlign w:val="top"/>
          </w:tcPr>
          <w:p>
            <w:pPr>
              <w:spacing w:after="0"/>
            </w:pPr>
            <w:r>
              <w:rPr>
                <w:sz w:val="14"/>
              </w:rPr>
              <w:t>Provider-agnostic. Frontend, backend, PostgreSQL and object storage deployed as separate managed services or an equivalent secure stack</w:t>
            </w:r>
          </w:p>
        </w:tc>
      </w:tr>
      <w:tr>
        <w:tc>
          <w:tcPr>
            <w:tcW w:type="dxa" w:w="2088"/>
            <w:vAlign w:val="top"/>
            <w:shd w:fill="F8FAFC"/>
          </w:tcPr>
          <w:p>
            <w:pPr>
              <w:spacing w:after="0"/>
            </w:pPr>
            <w:r>
              <w:rPr>
                <w:sz w:val="14"/>
              </w:rPr>
              <w:t>Future async jobs</w:t>
            </w:r>
          </w:p>
        </w:tc>
        <w:tc>
          <w:tcPr>
            <w:tcW w:type="dxa" w:w="8280"/>
            <w:vAlign w:val="top"/>
            <w:shd w:fill="F8FAFC"/>
          </w:tcPr>
          <w:p>
            <w:pPr>
              <w:spacing w:after="0"/>
            </w:pPr>
            <w:r>
              <w:rPr>
                <w:sz w:val="14"/>
              </w:rPr>
              <w:t>Redis/Celery or equivalent may be introduced when scheduled reminders, high-volume notifications or background generation requires it; not mandatory for initial V1</w:t>
            </w:r>
          </w:p>
        </w:tc>
      </w:tr>
    </w:tbl>
    <w:p>
      <w:pPr>
        <w:widowControl/>
        <w:spacing w:after="20"/>
      </w:pPr>
    </w:p>
    <w:p>
      <w:pPr>
        <w:pStyle w:val="Heading2"/>
        <w:widowControl/>
      </w:pPr>
      <w:r>
        <w:t>Logical request flow</w:t>
      </w:r>
    </w:p>
    <w:tbl>
      <w:tblPr>
        <w:tblStyle w:val="TableGrid"/>
        <w:tblW w:type="auto" w:w="0"/>
        <w:jc w:val="center"/>
        <w:tblLook w:firstColumn="1" w:firstRow="1" w:lastColumn="0" w:lastRow="0" w:noHBand="0" w:noVBand="1" w:val="04A0"/>
      </w:tblPr>
      <w:tblGrid>
        <w:gridCol w:w="10282"/>
      </w:tblGrid>
      <w:tr>
        <w:tc>
          <w:tcPr>
            <w:tcW w:type="dxa" w:w="10282"/>
            <w:shd w:fill="F8FAFC"/>
          </w:tcPr>
          <w:p>
            <w:pPr>
              <w:pStyle w:val="Codeish"/>
              <w:spacing w:after="0"/>
            </w:pPr>
            <w:r/>
            <w:r>
              <w:t>Browser / PWA</w:t>
            </w:r>
          </w:p>
          <w:p>
            <w:pPr>
              <w:pStyle w:val="Codeish"/>
              <w:spacing w:after="0"/>
            </w:pPr>
            <w:r>
              <w:t xml:space="preserve">   -&gt; resolves institute by hostname / domain</w:t>
            </w:r>
          </w:p>
          <w:p>
            <w:pPr>
              <w:pStyle w:val="Codeish"/>
              <w:spacing w:after="0"/>
            </w:pPr>
            <w:r>
              <w:t xml:space="preserve">   -&gt; authenticates user</w:t>
            </w:r>
          </w:p>
          <w:p>
            <w:pPr>
              <w:pStyle w:val="Codeish"/>
              <w:spacing w:after="0"/>
            </w:pPr>
            <w:r>
              <w:t xml:space="preserve">   -&gt; frontend requests authorized data</w:t>
            </w:r>
          </w:p>
          <w:p>
            <w:pPr>
              <w:pStyle w:val="Codeish"/>
              <w:spacing w:after="0"/>
            </w:pPr>
            <w:r>
              <w:t xml:space="preserve">   -&gt; Django REST API enforces role + institute + batch/child scope</w:t>
            </w:r>
          </w:p>
          <w:p>
            <w:pPr>
              <w:pStyle w:val="Codeish"/>
              <w:spacing w:after="0"/>
            </w:pPr>
            <w:r>
              <w:t xml:space="preserve">   -&gt; PostgreSQL / object storage</w:t>
            </w:r>
          </w:p>
          <w:p>
            <w:pPr>
              <w:pStyle w:val="Codeish"/>
              <w:spacing w:after="0"/>
            </w:pPr>
            <w:r>
              <w:t xml:space="preserve">   -&gt; response returns only permitted data</w:t>
            </w:r>
          </w:p>
        </w:tc>
      </w:tr>
    </w:tbl>
    <w:p>
      <w:pPr>
        <w:widowControl/>
        <w:spacing w:after="0"/>
      </w:pPr>
    </w:p>
    <w:p>
      <w:pPr>
        <w:pStyle w:val="Heading2"/>
        <w:widowControl/>
      </w:pPr>
      <w:r>
        <w:t>Architecture principles</w:t>
      </w:r>
    </w:p>
    <w:p>
      <w:pPr>
        <w:pStyle w:val="ListBullet"/>
        <w:widowControl/>
        <w:spacing w:after="26"/>
        <w:ind w:left="288"/>
      </w:pPr>
      <w:r>
        <w:t>One shared codebase; do not clone repositories per institute.</w:t>
      </w:r>
    </w:p>
    <w:p>
      <w:pPr>
        <w:pStyle w:val="ListBullet"/>
        <w:widowControl/>
        <w:spacing w:after="26"/>
        <w:ind w:left="288"/>
      </w:pPr>
      <w:r>
        <w:t>Backend permissions are the security boundary; UI hiding is not security.</w:t>
      </w:r>
    </w:p>
    <w:p>
      <w:pPr>
        <w:pStyle w:val="ListBullet"/>
        <w:widowControl/>
        <w:spacing w:after="26"/>
        <w:ind w:left="288"/>
      </w:pPr>
      <w:r>
        <w:t>Every tenant-owned record must be scoped to an institute directly or through a verified ownership chain.</w:t>
      </w:r>
    </w:p>
    <w:p>
      <w:pPr>
        <w:pStyle w:val="ListBullet"/>
        <w:widowControl/>
        <w:spacing w:after="26"/>
        <w:ind w:left="288"/>
      </w:pPr>
      <w:r>
        <w:t>Business logic should live in reusable services/domain functions rather than being duplicated across portals.</w:t>
      </w:r>
    </w:p>
    <w:p>
      <w:pPr>
        <w:pStyle w:val="ListBullet"/>
        <w:widowControl/>
        <w:spacing w:after="26"/>
        <w:ind w:left="288"/>
      </w:pPr>
      <w:r>
        <w:t>Portal dashboards may use role-specific aggregate endpoints but underlying data remains shared.</w:t>
      </w:r>
    </w:p>
    <w:p>
      <w:pPr>
        <w:widowControl/>
      </w:pPr>
      <w:r>
        <w:br w:type="page"/>
      </w:r>
    </w:p>
    <w:p>
      <w:pPr>
        <w:pStyle w:val="Heading1"/>
        <w:widowControl/>
      </w:pPr>
      <w:r>
        <w:t>5. Multi-Institute / Tenant Model</w:t>
      </w:r>
    </w:p>
    <w:tbl>
      <w:tblPr>
        <w:tblW w:type="auto" w:w="0"/>
        <w:jc w:val="center"/>
        <w:tblLook w:firstColumn="1" w:firstRow="1" w:lastColumn="0" w:lastRow="0" w:noHBand="0" w:noVBand="1" w:val="04A0"/>
      </w:tblPr>
      <w:tblGrid>
        <w:gridCol w:w="10282"/>
      </w:tblGrid>
      <w:tr>
        <w:tc>
          <w:tcPr>
            <w:tcW w:type="dxa" w:w="10282"/>
            <w:shd w:fill="FEE2E2"/>
            <w:vAlign w:val="center"/>
          </w:tcPr>
          <w:p>
            <w:pPr>
              <w:spacing w:after="40"/>
            </w:pPr>
            <w:r>
              <w:rPr>
                <w:b/>
                <w:color w:val="DC2626"/>
                <w:sz w:val="20"/>
              </w:rPr>
              <w:t>Non-negotiable rule</w:t>
            </w:r>
          </w:p>
          <w:p>
            <w:pPr>
              <w:pStyle w:val="SpecNote"/>
              <w:spacing w:after="80"/>
            </w:pPr>
            <w:r>
              <w:t>Success Academy data must never be returned to Bright Classes users, even if a user manually edits a URL, API ID, request payload, or browser state.</w:t>
            </w:r>
          </w:p>
        </w:tc>
      </w:tr>
    </w:tbl>
    <w:p>
      <w:pPr>
        <w:widowControl/>
        <w:spacing w:after="0"/>
      </w:pPr>
    </w:p>
    <w:p>
      <w:pPr>
        <w:pStyle w:val="Heading2"/>
        <w:widowControl/>
      </w:pPr>
      <w:r>
        <w:t>Tenant resolution</w:t>
      </w:r>
    </w:p>
    <w:p>
      <w:pPr>
        <w:pStyle w:val="ListBullet"/>
        <w:widowControl/>
        <w:spacing w:after="26"/>
        <w:ind w:left="288"/>
      </w:pPr>
      <w:r>
        <w:t>Every request resolves an Institute context from the request hostname/domain and authenticated user.</w:t>
      </w:r>
    </w:p>
    <w:p>
      <w:pPr>
        <w:pStyle w:val="ListBullet"/>
        <w:widowControl/>
        <w:spacing w:after="26"/>
        <w:ind w:left="288"/>
      </w:pPr>
      <w:r>
        <w:t>GrowthSathi Super Admin uses a separate global context and is not treated as a normal institute user.</w:t>
      </w:r>
    </w:p>
    <w:p>
      <w:pPr>
        <w:pStyle w:val="ListBullet"/>
        <w:widowControl/>
        <w:spacing w:after="26"/>
        <w:ind w:left="288"/>
      </w:pPr>
      <w:r>
        <w:t>Institute users must have a non-null institute relationship and may authenticate only against that institute context.</w:t>
      </w:r>
    </w:p>
    <w:p>
      <w:pPr>
        <w:pStyle w:val="ListBullet"/>
        <w:widowControl/>
        <w:spacing w:after="26"/>
        <w:ind w:left="288"/>
      </w:pPr>
      <w:r>
        <w:t>Custom domains and GrowthSathi subdomains map to an InstituteDomain record.</w:t>
      </w:r>
    </w:p>
    <w:p>
      <w:pPr>
        <w:pStyle w:val="ListBullet"/>
        <w:widowControl/>
        <w:spacing w:after="26"/>
        <w:ind w:left="288"/>
      </w:pPr>
      <w:r>
        <w:t>Unknown, disabled or unverified domains must not expose institute data.</w:t>
      </w:r>
    </w:p>
    <w:p>
      <w:pPr>
        <w:pStyle w:val="Heading2"/>
        <w:widowControl/>
      </w:pPr>
      <w:r>
        <w:t>Data isolation implementation rules</w:t>
      </w:r>
    </w:p>
    <w:p>
      <w:pPr>
        <w:pStyle w:val="ListBullet"/>
        <w:widowControl/>
        <w:spacing w:after="26"/>
        <w:ind w:left="288"/>
      </w:pPr>
      <w:r>
        <w:t>Tenant-owned tables include institute_id directly wherever practical.</w:t>
      </w:r>
    </w:p>
    <w:p>
      <w:pPr>
        <w:pStyle w:val="ListBullet"/>
        <w:widowControl/>
        <w:spacing w:after="26"/>
        <w:ind w:left="288"/>
      </w:pPr>
      <w:r>
        <w:t>All list/detail/update/delete querysets are institute-scoped before object lookup.</w:t>
      </w:r>
    </w:p>
    <w:p>
      <w:pPr>
        <w:pStyle w:val="ListBullet"/>
        <w:widowControl/>
        <w:spacing w:after="26"/>
        <w:ind w:left="288"/>
      </w:pPr>
      <w:r>
        <w:t>Foreign-key assignments are validated to ensure both records belong to the same institute.</w:t>
      </w:r>
    </w:p>
    <w:p>
      <w:pPr>
        <w:pStyle w:val="ListBullet"/>
        <w:widowControl/>
        <w:spacing w:after="26"/>
        <w:ind w:left="288"/>
      </w:pPr>
      <w:r>
        <w:t>Unique constraints that are institute-specific include institute in the constraint, e.g. roll number unique per institute/academic year rather than globally.</w:t>
      </w:r>
    </w:p>
    <w:p>
      <w:pPr>
        <w:pStyle w:val="ListBullet"/>
        <w:widowControl/>
        <w:spacing w:after="26"/>
        <w:ind w:left="288"/>
      </w:pPr>
      <w:r>
        <w:t>Automated tests must intentionally attempt cross-institute reads and writes and expect denial.</w:t>
      </w:r>
    </w:p>
    <w:p>
      <w:pPr>
        <w:pStyle w:val="ListBullet"/>
        <w:widowControl/>
        <w:spacing w:after="26"/>
        <w:ind w:left="288"/>
      </w:pPr>
      <w:r>
        <w:t>Seed at least two institutes in test/demo data to make data leakage visible during development.</w:t>
      </w:r>
    </w:p>
    <w:p>
      <w:pPr>
        <w:pStyle w:val="Heading2"/>
        <w:widowControl/>
      </w:pPr>
      <w:r>
        <w:t>Example</w:t>
      </w:r>
    </w:p>
    <w:tbl>
      <w:tblPr>
        <w:tblStyle w:val="TableGrid"/>
        <w:tblW w:type="auto" w:w="0"/>
        <w:jc w:val="center"/>
        <w:tblLook w:firstColumn="1" w:firstRow="1" w:lastColumn="0" w:lastRow="0" w:noHBand="0" w:noVBand="1" w:val="04A0"/>
      </w:tblPr>
      <w:tblGrid>
        <w:gridCol w:w="10282"/>
      </w:tblGrid>
      <w:tr>
        <w:tc>
          <w:tcPr>
            <w:tcW w:type="dxa" w:w="10282"/>
            <w:shd w:fill="F8FAFC"/>
          </w:tcPr>
          <w:p>
            <w:pPr>
              <w:pStyle w:val="Codeish"/>
              <w:spacing w:after="0"/>
            </w:pPr>
            <w:r/>
            <w:r>
              <w:t>Success Academy user -&gt; institute_id = 1</w:t>
            </w:r>
          </w:p>
          <w:p>
            <w:pPr>
              <w:pStyle w:val="Codeish"/>
              <w:spacing w:after="0"/>
            </w:pPr>
            <w:r>
              <w:t>Bright Classes user  -&gt; institute_id = 2</w:t>
            </w:r>
          </w:p>
          <w:p>
            <w:pPr>
              <w:pStyle w:val="Codeish"/>
              <w:spacing w:after="0"/>
            </w:pPr>
            <w:r/>
          </w:p>
          <w:p>
            <w:pPr>
              <w:pStyle w:val="Codeish"/>
              <w:spacing w:after="0"/>
            </w:pPr>
            <w:r>
              <w:t>GET /students/123 must first scope students to institute_id=1.</w:t>
            </w:r>
          </w:p>
          <w:p>
            <w:pPr>
              <w:pStyle w:val="Codeish"/>
              <w:spacing w:after="0"/>
            </w:pPr>
            <w:r>
              <w:t>If student 123 belongs to institute_id=2, return 404/permission denial — never the record.</w:t>
            </w:r>
          </w:p>
        </w:tc>
      </w:tr>
    </w:tbl>
    <w:p>
      <w:pPr>
        <w:widowControl/>
        <w:spacing w:after="0"/>
      </w:pPr>
    </w:p>
    <w:p>
      <w:pPr>
        <w:widowControl/>
      </w:pPr>
      <w:r>
        <w:br w:type="page"/>
      </w:r>
    </w:p>
    <w:p>
      <w:pPr>
        <w:pStyle w:val="Heading1"/>
        <w:widowControl/>
      </w:pPr>
      <w:r>
        <w:t>6. Roles, Permissions &amp; Access Scoping</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584"/>
            <w:shd w:fill="13253A"/>
          </w:tcPr>
          <w:p>
            <w:pPr>
              <w:spacing w:after="0"/>
            </w:pPr>
            <w:r>
              <w:rPr>
                <w:b/>
                <w:color w:val="FFFFFF"/>
                <w:sz w:val="15"/>
              </w:rPr>
              <w:t>Role</w:t>
            </w:r>
          </w:p>
        </w:tc>
        <w:tc>
          <w:tcPr>
            <w:tcW w:type="dxa" w:w="4320"/>
            <w:shd w:fill="13253A"/>
          </w:tcPr>
          <w:p>
            <w:pPr>
              <w:spacing w:after="0"/>
            </w:pPr>
            <w:r>
              <w:rPr>
                <w:b/>
                <w:color w:val="FFFFFF"/>
                <w:sz w:val="15"/>
              </w:rPr>
              <w:t>Primary scope</w:t>
            </w:r>
          </w:p>
        </w:tc>
        <w:tc>
          <w:tcPr>
            <w:tcW w:type="dxa" w:w="4464"/>
            <w:shd w:fill="13253A"/>
          </w:tcPr>
          <w:p>
            <w:pPr>
              <w:spacing w:after="0"/>
            </w:pPr>
            <w:r>
              <w:rPr>
                <w:b/>
                <w:color w:val="FFFFFF"/>
                <w:sz w:val="15"/>
              </w:rPr>
              <w:t>Cannot do</w:t>
            </w:r>
          </w:p>
        </w:tc>
      </w:tr>
      <w:tr>
        <w:tc>
          <w:tcPr>
            <w:tcW w:type="dxa" w:w="1584"/>
            <w:vAlign w:val="top"/>
          </w:tcPr>
          <w:p>
            <w:pPr>
              <w:spacing w:after="0"/>
            </w:pPr>
            <w:r>
              <w:rPr>
                <w:sz w:val="14"/>
              </w:rPr>
              <w:t>SUPER_ADMIN</w:t>
            </w:r>
          </w:p>
        </w:tc>
        <w:tc>
          <w:tcPr>
            <w:tcW w:type="dxa" w:w="4320"/>
            <w:vAlign w:val="top"/>
          </w:tcPr>
          <w:p>
            <w:pPr>
              <w:spacing w:after="0"/>
            </w:pPr>
            <w:r>
              <w:rPr>
                <w:sz w:val="14"/>
              </w:rPr>
              <w:t>All institutes for GrowthSathi operational management</w:t>
            </w:r>
          </w:p>
        </w:tc>
        <w:tc>
          <w:tcPr>
            <w:tcW w:type="dxa" w:w="4464"/>
            <w:vAlign w:val="top"/>
          </w:tcPr>
          <w:p>
            <w:pPr>
              <w:spacing w:after="0"/>
            </w:pPr>
            <w:r>
              <w:rPr>
                <w:sz w:val="14"/>
              </w:rPr>
              <w:t>Must not impersonate or modify tenant academic data casually; actions should be auditable</w:t>
            </w:r>
          </w:p>
        </w:tc>
      </w:tr>
      <w:tr>
        <w:tc>
          <w:tcPr>
            <w:tcW w:type="dxa" w:w="1584"/>
            <w:vAlign w:val="top"/>
            <w:shd w:fill="F8FAFC"/>
          </w:tcPr>
          <w:p>
            <w:pPr>
              <w:spacing w:after="0"/>
            </w:pPr>
            <w:r>
              <w:rPr>
                <w:sz w:val="14"/>
              </w:rPr>
              <w:t>ADMIN</w:t>
            </w:r>
          </w:p>
        </w:tc>
        <w:tc>
          <w:tcPr>
            <w:tcW w:type="dxa" w:w="4320"/>
            <w:vAlign w:val="top"/>
            <w:shd w:fill="F8FAFC"/>
          </w:tcPr>
          <w:p>
            <w:pPr>
              <w:spacing w:after="0"/>
            </w:pPr>
            <w:r>
              <w:rPr>
                <w:sz w:val="14"/>
              </w:rPr>
              <w:t>Entire own institute</w:t>
            </w:r>
          </w:p>
        </w:tc>
        <w:tc>
          <w:tcPr>
            <w:tcW w:type="dxa" w:w="4464"/>
            <w:vAlign w:val="top"/>
            <w:shd w:fill="F8FAFC"/>
          </w:tcPr>
          <w:p>
            <w:pPr>
              <w:spacing w:after="0"/>
            </w:pPr>
            <w:r>
              <w:rPr>
                <w:sz w:val="14"/>
              </w:rPr>
              <w:t>Cannot access another institute or GrowthSathi controls</w:t>
            </w:r>
          </w:p>
        </w:tc>
      </w:tr>
      <w:tr>
        <w:tc>
          <w:tcPr>
            <w:tcW w:type="dxa" w:w="1584"/>
            <w:vAlign w:val="top"/>
          </w:tcPr>
          <w:p>
            <w:pPr>
              <w:spacing w:after="0"/>
            </w:pPr>
            <w:r>
              <w:rPr>
                <w:sz w:val="14"/>
              </w:rPr>
              <w:t>TEACHER</w:t>
            </w:r>
          </w:p>
        </w:tc>
        <w:tc>
          <w:tcPr>
            <w:tcW w:type="dxa" w:w="4320"/>
            <w:vAlign w:val="top"/>
          </w:tcPr>
          <w:p>
            <w:pPr>
              <w:spacing w:after="0"/>
            </w:pPr>
            <w:r>
              <w:rPr>
                <w:sz w:val="14"/>
              </w:rPr>
              <w:t>Assigned batches/subjects/students; teaching workflows</w:t>
            </w:r>
          </w:p>
        </w:tc>
        <w:tc>
          <w:tcPr>
            <w:tcW w:type="dxa" w:w="4464"/>
            <w:vAlign w:val="top"/>
          </w:tcPr>
          <w:p>
            <w:pPr>
              <w:spacing w:after="0"/>
            </w:pPr>
            <w:r>
              <w:rPr>
                <w:sz w:val="14"/>
              </w:rPr>
              <w:t>No fees, parent management, institute settings, unrelated batches or full institute analytics</w:t>
            </w:r>
          </w:p>
        </w:tc>
      </w:tr>
      <w:tr>
        <w:tc>
          <w:tcPr>
            <w:tcW w:type="dxa" w:w="1584"/>
            <w:vAlign w:val="top"/>
            <w:shd w:fill="F8FAFC"/>
          </w:tcPr>
          <w:p>
            <w:pPr>
              <w:spacing w:after="0"/>
            </w:pPr>
            <w:r>
              <w:rPr>
                <w:sz w:val="14"/>
              </w:rPr>
              <w:t>STUDENT</w:t>
            </w:r>
          </w:p>
        </w:tc>
        <w:tc>
          <w:tcPr>
            <w:tcW w:type="dxa" w:w="4320"/>
            <w:vAlign w:val="top"/>
            <w:shd w:fill="F8FAFC"/>
          </w:tcPr>
          <w:p>
            <w:pPr>
              <w:spacing w:after="0"/>
            </w:pPr>
            <w:r>
              <w:rPr>
                <w:sz w:val="14"/>
              </w:rPr>
              <w:t>Own profile and own/batch academic data</w:t>
            </w:r>
          </w:p>
        </w:tc>
        <w:tc>
          <w:tcPr>
            <w:tcW w:type="dxa" w:w="4464"/>
            <w:vAlign w:val="top"/>
            <w:shd w:fill="F8FAFC"/>
          </w:tcPr>
          <w:p>
            <w:pPr>
              <w:spacing w:after="0"/>
            </w:pPr>
            <w:r>
              <w:rPr>
                <w:sz w:val="14"/>
              </w:rPr>
              <w:t>Cannot edit official records or view other students’ private data</w:t>
            </w:r>
          </w:p>
        </w:tc>
      </w:tr>
      <w:tr>
        <w:tc>
          <w:tcPr>
            <w:tcW w:type="dxa" w:w="1584"/>
            <w:vAlign w:val="top"/>
          </w:tcPr>
          <w:p>
            <w:pPr>
              <w:spacing w:after="0"/>
            </w:pPr>
            <w:r>
              <w:rPr>
                <w:sz w:val="14"/>
              </w:rPr>
              <w:t>PARENT</w:t>
            </w:r>
          </w:p>
        </w:tc>
        <w:tc>
          <w:tcPr>
            <w:tcW w:type="dxa" w:w="4320"/>
            <w:vAlign w:val="top"/>
          </w:tcPr>
          <w:p>
            <w:pPr>
              <w:spacing w:after="0"/>
            </w:pPr>
            <w:r>
              <w:rPr>
                <w:sz w:val="14"/>
              </w:rPr>
              <w:t>Linked child/children only</w:t>
            </w:r>
          </w:p>
        </w:tc>
        <w:tc>
          <w:tcPr>
            <w:tcW w:type="dxa" w:w="4464"/>
            <w:vAlign w:val="top"/>
          </w:tcPr>
          <w:p>
            <w:pPr>
              <w:spacing w:after="0"/>
            </w:pPr>
            <w:r>
              <w:rPr>
                <w:sz w:val="14"/>
              </w:rPr>
              <w:t>Cannot edit official academic/fee records or browse other students</w:t>
            </w:r>
          </w:p>
        </w:tc>
      </w:tr>
    </w:tbl>
    <w:p>
      <w:pPr>
        <w:widowControl/>
        <w:spacing w:after="20"/>
      </w:pPr>
    </w:p>
    <w:p>
      <w:pPr>
        <w:pStyle w:val="Heading2"/>
        <w:widowControl/>
      </w:pPr>
      <w:r>
        <w:t>Role routing after login</w:t>
      </w:r>
    </w:p>
    <w:tbl>
      <w:tblPr>
        <w:tblStyle w:val="TableGrid"/>
        <w:tblW w:type="auto" w:w="0"/>
        <w:jc w:val="center"/>
        <w:tblLook w:firstColumn="1" w:firstRow="1" w:lastColumn="0" w:lastRow="0" w:noHBand="0" w:noVBand="1" w:val="04A0"/>
      </w:tblPr>
      <w:tblGrid>
        <w:gridCol w:w="10282"/>
      </w:tblGrid>
      <w:tr>
        <w:tc>
          <w:tcPr>
            <w:tcW w:type="dxa" w:w="10282"/>
            <w:shd w:fill="F8FAFC"/>
          </w:tcPr>
          <w:p>
            <w:pPr>
              <w:pStyle w:val="Codeish"/>
              <w:spacing w:after="0"/>
            </w:pPr>
            <w:r/>
            <w:r>
              <w:t>SUPER_ADMIN -&gt; GrowthSathi Super Admin Dashboard</w:t>
            </w:r>
          </w:p>
          <w:p>
            <w:pPr>
              <w:pStyle w:val="Codeish"/>
              <w:spacing w:after="0"/>
            </w:pPr>
            <w:r>
              <w:t>ADMIN       -&gt; Institute Admin Dashboard</w:t>
            </w:r>
          </w:p>
          <w:p>
            <w:pPr>
              <w:pStyle w:val="Codeish"/>
              <w:spacing w:after="0"/>
            </w:pPr>
            <w:r>
              <w:t>TEACHER     -&gt; Teacher Dashboard</w:t>
            </w:r>
          </w:p>
          <w:p>
            <w:pPr>
              <w:pStyle w:val="Codeish"/>
              <w:spacing w:after="0"/>
            </w:pPr>
            <w:r>
              <w:t>STUDENT     -&gt; Student Dashboard</w:t>
            </w:r>
          </w:p>
          <w:p>
            <w:pPr>
              <w:pStyle w:val="Codeish"/>
              <w:spacing w:after="0"/>
            </w:pPr>
            <w:r>
              <w:t>PARENT      -&gt; Parent Dashboard</w:t>
            </w:r>
          </w:p>
        </w:tc>
      </w:tr>
    </w:tbl>
    <w:p>
      <w:pPr>
        <w:widowControl/>
        <w:spacing w:after="0"/>
      </w:pPr>
    </w:p>
    <w:p>
      <w:pPr>
        <w:pStyle w:val="Heading2"/>
        <w:widowControl/>
      </w:pPr>
      <w:r>
        <w:t>Secondary scope rules</w:t>
      </w:r>
    </w:p>
    <w:p>
      <w:pPr>
        <w:pStyle w:val="ListBullet"/>
        <w:widowControl/>
        <w:spacing w:after="26"/>
        <w:ind w:left="288"/>
      </w:pPr>
      <w:r>
        <w:t>Teacher scope = authenticated teacher + institute + assigned batch/subject relationships.</w:t>
      </w:r>
    </w:p>
    <w:p>
      <w:pPr>
        <w:pStyle w:val="ListBullet"/>
        <w:widowControl/>
        <w:spacing w:after="26"/>
        <w:ind w:left="288"/>
      </w:pPr>
      <w:r>
        <w:t>Student scope = authenticated student + institute + own enrollment/batch + own records.</w:t>
      </w:r>
    </w:p>
    <w:p>
      <w:pPr>
        <w:pStyle w:val="ListBullet"/>
        <w:widowControl/>
        <w:spacing w:after="26"/>
        <w:ind w:left="288"/>
      </w:pPr>
      <w:r>
        <w:t>Parent scope = authenticated parent + institute + explicit ParentStudentLink records.</w:t>
      </w:r>
    </w:p>
    <w:p>
      <w:pPr>
        <w:pStyle w:val="ListBullet"/>
        <w:widowControl/>
        <w:spacing w:after="26"/>
        <w:ind w:left="288"/>
      </w:pPr>
      <w:r>
        <w:t>Admin scope = institute; all institute records are permitted according to module-level admin rights.</w:t>
      </w:r>
    </w:p>
    <w:p>
      <w:pPr>
        <w:pStyle w:val="ListBullet"/>
        <w:widowControl/>
        <w:spacing w:after="26"/>
        <w:ind w:left="288"/>
      </w:pPr>
      <w:r>
        <w:t>Disabled users or users of a deactivated institute must be blocked before normal authorization logic proceeds.</w:t>
      </w:r>
    </w:p>
    <w:p>
      <w:pPr>
        <w:widowControl/>
      </w:pPr>
      <w:r>
        <w:br w:type="page"/>
      </w:r>
    </w:p>
    <w:p>
      <w:pPr>
        <w:pStyle w:val="Heading1"/>
        <w:widowControl/>
      </w:pPr>
      <w:r>
        <w:t>7. Authentication, Accounts &amp; Sessions</w:t>
      </w:r>
    </w:p>
    <w:p>
      <w:pPr>
        <w:pStyle w:val="ListBullet"/>
        <w:widowControl/>
        <w:spacing w:after="26"/>
        <w:ind w:left="288"/>
      </w:pPr>
      <w:r>
        <w:t>GrowthSathi Super Admin creates the institute and initial Institute Admin account.</w:t>
      </w:r>
    </w:p>
    <w:p>
      <w:pPr>
        <w:pStyle w:val="ListBullet"/>
        <w:widowControl/>
        <w:spacing w:after="26"/>
        <w:ind w:left="288"/>
      </w:pPr>
      <w:r>
        <w:t>Institute Admin creates Teacher, Student and Parent accounts from their management screens.</w:t>
      </w:r>
    </w:p>
    <w:p>
      <w:pPr>
        <w:pStyle w:val="ListBullet"/>
        <w:widowControl/>
        <w:spacing w:after="26"/>
        <w:ind w:left="288"/>
      </w:pPr>
      <w:r>
        <w:t>Account creation should support activation link or temporary password. First login should require a password change when a temporary password is used.</w:t>
      </w:r>
    </w:p>
    <w:p>
      <w:pPr>
        <w:pStyle w:val="ListBullet"/>
        <w:widowControl/>
        <w:spacing w:after="26"/>
        <w:ind w:left="288"/>
      </w:pPr>
      <w:r>
        <w:t>A user account has role, institute, status and role-specific profile linkage.</w:t>
      </w:r>
    </w:p>
    <w:p>
      <w:pPr>
        <w:pStyle w:val="ListBullet"/>
        <w:widowControl/>
        <w:spacing w:after="26"/>
        <w:ind w:left="288"/>
      </w:pPr>
      <w:r>
        <w:t>Admin can reset password, enable login and disable login for institute users.</w:t>
      </w:r>
    </w:p>
    <w:p>
      <w:pPr>
        <w:pStyle w:val="ListBullet"/>
        <w:widowControl/>
        <w:spacing w:after="26"/>
        <w:ind w:left="288"/>
      </w:pPr>
      <w:r>
        <w:t>Password reset by user uses secure single-use, expiring reset tokens delivered through the configured email channel where available.</w:t>
      </w:r>
    </w:p>
    <w:p>
      <w:pPr>
        <w:pStyle w:val="ListBullet"/>
        <w:widowControl/>
        <w:spacing w:after="26"/>
        <w:ind w:left="288"/>
      </w:pPr>
      <w:r>
        <w:t>Logout invalidates the active refresh/session path. “Logout all devices” may invalidate all refresh sessions/tokens for the user.</w:t>
      </w:r>
    </w:p>
    <w:p>
      <w:pPr>
        <w:pStyle w:val="ListBullet"/>
        <w:widowControl/>
        <w:spacing w:after="26"/>
        <w:ind w:left="288"/>
      </w:pPr>
      <w:r>
        <w:t>Passwords are never stored or logged in plaintext.</w:t>
      </w:r>
    </w:p>
    <w:p>
      <w:pPr>
        <w:pStyle w:val="ListBullet"/>
        <w:widowControl/>
        <w:spacing w:after="26"/>
        <w:ind w:left="288"/>
      </w:pPr>
      <w:r>
        <w:t>Login rate limiting / lockout protection must exist.</w:t>
      </w:r>
    </w:p>
    <w:p>
      <w:pPr>
        <w:pStyle w:val="ListBullet"/>
        <w:widowControl/>
        <w:spacing w:after="26"/>
        <w:ind w:left="288"/>
      </w:pPr>
      <w:r>
        <w:t>Use HTTPS only in production.</w:t>
      </w:r>
    </w:p>
    <w:p>
      <w:pPr>
        <w:pStyle w:val="Heading2"/>
        <w:widowControl/>
      </w:pPr>
      <w:r>
        <w:t>Account status states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304"/>
            <w:shd w:fill="13253A"/>
          </w:tcPr>
          <w:p>
            <w:pPr>
              <w:spacing w:after="0"/>
            </w:pPr>
            <w:r>
              <w:rPr>
                <w:b/>
                <w:color w:val="FFFFFF"/>
                <w:sz w:val="15"/>
              </w:rPr>
              <w:t>Status</w:t>
            </w:r>
          </w:p>
        </w:tc>
        <w:tc>
          <w:tcPr>
            <w:tcW w:type="dxa" w:w="5328"/>
            <w:shd w:fill="13253A"/>
          </w:tcPr>
          <w:p>
            <w:pPr>
              <w:spacing w:after="0"/>
            </w:pPr>
            <w:r>
              <w:rPr>
                <w:b/>
                <w:color w:val="FFFFFF"/>
                <w:sz w:val="15"/>
              </w:rPr>
              <w:t>Meaning</w:t>
            </w:r>
          </w:p>
        </w:tc>
        <w:tc>
          <w:tcPr>
            <w:tcW w:type="dxa" w:w="2736"/>
            <w:shd w:fill="13253A"/>
          </w:tcPr>
          <w:p>
            <w:pPr>
              <w:spacing w:after="0"/>
            </w:pPr>
            <w:r>
              <w:rPr>
                <w:b/>
                <w:color w:val="FFFFFF"/>
                <w:sz w:val="15"/>
              </w:rPr>
              <w:t>Login</w:t>
            </w:r>
          </w:p>
        </w:tc>
      </w:tr>
      <w:tr>
        <w:tc>
          <w:tcPr>
            <w:tcW w:type="dxa" w:w="2304"/>
            <w:vAlign w:val="top"/>
          </w:tcPr>
          <w:p>
            <w:pPr>
              <w:spacing w:after="0"/>
            </w:pPr>
            <w:r>
              <w:rPr>
                <w:sz w:val="15"/>
              </w:rPr>
              <w:t>INVITED / PENDING</w:t>
            </w:r>
          </w:p>
        </w:tc>
        <w:tc>
          <w:tcPr>
            <w:tcW w:type="dxa" w:w="5328"/>
            <w:vAlign w:val="top"/>
          </w:tcPr>
          <w:p>
            <w:pPr>
              <w:spacing w:after="0"/>
            </w:pPr>
            <w:r>
              <w:rPr>
                <w:sz w:val="15"/>
              </w:rPr>
              <w:t>Account created but first activation not completed</w:t>
            </w:r>
          </w:p>
        </w:tc>
        <w:tc>
          <w:tcPr>
            <w:tcW w:type="dxa" w:w="2736"/>
            <w:vAlign w:val="top"/>
          </w:tcPr>
          <w:p>
            <w:pPr>
              <w:spacing w:after="0"/>
            </w:pPr>
            <w:r>
              <w:rPr>
                <w:sz w:val="15"/>
              </w:rPr>
              <w:t>Only activation flow</w:t>
            </w:r>
          </w:p>
        </w:tc>
      </w:tr>
      <w:tr>
        <w:tc>
          <w:tcPr>
            <w:tcW w:type="dxa" w:w="2304"/>
            <w:vAlign w:val="top"/>
            <w:shd w:fill="F8FAFC"/>
          </w:tcPr>
          <w:p>
            <w:pPr>
              <w:spacing w:after="0"/>
            </w:pPr>
            <w:r>
              <w:rPr>
                <w:sz w:val="15"/>
              </w:rPr>
              <w:t>ACTIVE</w:t>
            </w:r>
          </w:p>
        </w:tc>
        <w:tc>
          <w:tcPr>
            <w:tcW w:type="dxa" w:w="5328"/>
            <w:vAlign w:val="top"/>
            <w:shd w:fill="F8FAFC"/>
          </w:tcPr>
          <w:p>
            <w:pPr>
              <w:spacing w:after="0"/>
            </w:pPr>
            <w:r>
              <w:rPr>
                <w:sz w:val="15"/>
              </w:rPr>
              <w:t>Normal account</w:t>
            </w:r>
          </w:p>
        </w:tc>
        <w:tc>
          <w:tcPr>
            <w:tcW w:type="dxa" w:w="2736"/>
            <w:vAlign w:val="top"/>
            <w:shd w:fill="F8FAFC"/>
          </w:tcPr>
          <w:p>
            <w:pPr>
              <w:spacing w:after="0"/>
            </w:pPr>
            <w:r>
              <w:rPr>
                <w:sz w:val="15"/>
              </w:rPr>
              <w:t>Allowed</w:t>
            </w:r>
          </w:p>
        </w:tc>
      </w:tr>
      <w:tr>
        <w:tc>
          <w:tcPr>
            <w:tcW w:type="dxa" w:w="2304"/>
            <w:vAlign w:val="top"/>
          </w:tcPr>
          <w:p>
            <w:pPr>
              <w:spacing w:after="0"/>
            </w:pPr>
            <w:r>
              <w:rPr>
                <w:sz w:val="15"/>
              </w:rPr>
              <w:t>DISABLED / INACTIVE</w:t>
            </w:r>
          </w:p>
        </w:tc>
        <w:tc>
          <w:tcPr>
            <w:tcW w:type="dxa" w:w="5328"/>
            <w:vAlign w:val="top"/>
          </w:tcPr>
          <w:p>
            <w:pPr>
              <w:spacing w:after="0"/>
            </w:pPr>
            <w:r>
              <w:rPr>
                <w:sz w:val="15"/>
              </w:rPr>
              <w:t>Admin disabled access or user left</w:t>
            </w:r>
          </w:p>
        </w:tc>
        <w:tc>
          <w:tcPr>
            <w:tcW w:type="dxa" w:w="2736"/>
            <w:vAlign w:val="top"/>
          </w:tcPr>
          <w:p>
            <w:pPr>
              <w:spacing w:after="0"/>
            </w:pPr>
            <w:r>
              <w:rPr>
                <w:sz w:val="15"/>
              </w:rPr>
              <w:t>Denied; data retained</w:t>
            </w:r>
          </w:p>
        </w:tc>
      </w:tr>
      <w:tr>
        <w:tc>
          <w:tcPr>
            <w:tcW w:type="dxa" w:w="2304"/>
            <w:vAlign w:val="top"/>
            <w:shd w:fill="F8FAFC"/>
          </w:tcPr>
          <w:p>
            <w:pPr>
              <w:spacing w:after="0"/>
            </w:pPr>
            <w:r>
              <w:rPr>
                <w:sz w:val="15"/>
              </w:rPr>
              <w:t>INSTITUTE_SUSPENDED</w:t>
            </w:r>
          </w:p>
        </w:tc>
        <w:tc>
          <w:tcPr>
            <w:tcW w:type="dxa" w:w="5328"/>
            <w:vAlign w:val="top"/>
            <w:shd w:fill="F8FAFC"/>
          </w:tcPr>
          <w:p>
            <w:pPr>
              <w:spacing w:after="0"/>
            </w:pPr>
            <w:r>
              <w:rPr>
                <w:sz w:val="15"/>
              </w:rPr>
              <w:t>Institute deactivated by GrowthSathi</w:t>
            </w:r>
          </w:p>
        </w:tc>
        <w:tc>
          <w:tcPr>
            <w:tcW w:type="dxa" w:w="2736"/>
            <w:vAlign w:val="top"/>
            <w:shd w:fill="F8FAFC"/>
          </w:tcPr>
          <w:p>
            <w:pPr>
              <w:spacing w:after="0"/>
            </w:pPr>
            <w:r>
              <w:rPr>
                <w:sz w:val="15"/>
              </w:rPr>
              <w:t>All institute user logins denied</w:t>
            </w:r>
          </w:p>
        </w:tc>
      </w:tr>
    </w:tbl>
    <w:p>
      <w:pPr>
        <w:widowControl/>
        <w:spacing w:after="20"/>
      </w:pPr>
    </w:p>
    <w:tbl>
      <w:tblPr>
        <w:tblW w:type="auto" w:w="0"/>
        <w:jc w:val="center"/>
        <w:tblLook w:firstColumn="1" w:firstRow="1" w:lastColumn="0" w:lastRow="0" w:noHBand="0" w:noVBand="1" w:val="04A0"/>
      </w:tblPr>
      <w:tblGrid>
        <w:gridCol w:w="10282"/>
      </w:tblGrid>
      <w:tr>
        <w:tc>
          <w:tcPr>
            <w:tcW w:type="dxa" w:w="10282"/>
            <w:shd w:fill="EEF6FF"/>
            <w:vAlign w:val="center"/>
          </w:tcPr>
          <w:p>
            <w:pPr>
              <w:spacing w:after="40"/>
            </w:pPr>
            <w:r>
              <w:rPr>
                <w:b/>
                <w:color w:val="1677FF"/>
                <w:sz w:val="20"/>
              </w:rPr>
              <w:t>Detailed authority</w:t>
            </w:r>
          </w:p>
          <w:p>
            <w:pPr>
              <w:pStyle w:val="SpecNote"/>
              <w:spacing w:after="80"/>
            </w:pPr>
            <w:r>
              <w:t>All exact login, reset, disable/enable and role routing behavior must follow GrowthSathi_Class_System_Login_Access_Flow_Specification.docx.</w:t>
            </w:r>
          </w:p>
        </w:tc>
      </w:tr>
    </w:tbl>
    <w:p>
      <w:pPr>
        <w:widowControl/>
        <w:spacing w:after="0"/>
      </w:pPr>
    </w:p>
    <w:p>
      <w:pPr>
        <w:widowControl/>
      </w:pPr>
      <w:r>
        <w:br w:type="page"/>
      </w:r>
    </w:p>
    <w:p>
      <w:pPr>
        <w:pStyle w:val="Heading1"/>
        <w:widowControl/>
      </w:pPr>
      <w:r>
        <w:t>8. Core Data Model — Identity &amp; Academic Structure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088"/>
            <w:shd w:fill="13253A"/>
          </w:tcPr>
          <w:p>
            <w:pPr>
              <w:spacing w:after="0"/>
            </w:pPr>
            <w:r>
              <w:rPr>
                <w:b/>
                <w:color w:val="FFFFFF"/>
                <w:sz w:val="15"/>
              </w:rPr>
              <w:t>Entity</w:t>
            </w:r>
          </w:p>
        </w:tc>
        <w:tc>
          <w:tcPr>
            <w:tcW w:type="dxa" w:w="3240"/>
            <w:shd w:fill="13253A"/>
          </w:tcPr>
          <w:p>
            <w:pPr>
              <w:spacing w:after="0"/>
            </w:pPr>
            <w:r>
              <w:rPr>
                <w:b/>
                <w:color w:val="FFFFFF"/>
                <w:sz w:val="15"/>
              </w:rPr>
              <w:t>Purpose</w:t>
            </w:r>
          </w:p>
        </w:tc>
        <w:tc>
          <w:tcPr>
            <w:tcW w:type="dxa" w:w="5040"/>
            <w:shd w:fill="13253A"/>
          </w:tcPr>
          <w:p>
            <w:pPr>
              <w:spacing w:after="0"/>
            </w:pPr>
            <w:r>
              <w:rPr>
                <w:b/>
                <w:color w:val="FFFFFF"/>
                <w:sz w:val="15"/>
              </w:rPr>
              <w:t>Key relationships / fields</w:t>
            </w:r>
          </w:p>
        </w:tc>
      </w:tr>
      <w:tr>
        <w:tc>
          <w:tcPr>
            <w:tcW w:type="dxa" w:w="2088"/>
            <w:vAlign w:val="top"/>
          </w:tcPr>
          <w:p>
            <w:pPr>
              <w:spacing w:after="0"/>
            </w:pPr>
            <w:r>
              <w:rPr>
                <w:sz w:val="14"/>
              </w:rPr>
              <w:t>Institute</w:t>
            </w:r>
          </w:p>
        </w:tc>
        <w:tc>
          <w:tcPr>
            <w:tcW w:type="dxa" w:w="3240"/>
            <w:vAlign w:val="top"/>
          </w:tcPr>
          <w:p>
            <w:pPr>
              <w:spacing w:after="0"/>
            </w:pPr>
            <w:r>
              <w:rPr>
                <w:sz w:val="14"/>
              </w:rPr>
              <w:t>One coaching client/tenant</w:t>
            </w:r>
          </w:p>
        </w:tc>
        <w:tc>
          <w:tcPr>
            <w:tcW w:type="dxa" w:w="5040"/>
            <w:vAlign w:val="top"/>
          </w:tcPr>
          <w:p>
            <w:pPr>
              <w:spacing w:after="0"/>
            </w:pPr>
            <w:r>
              <w:rPr>
                <w:sz w:val="14"/>
              </w:rPr>
              <w:t>name, status, contact, branding config, current academic year</w:t>
            </w:r>
          </w:p>
        </w:tc>
      </w:tr>
      <w:tr>
        <w:tc>
          <w:tcPr>
            <w:tcW w:type="dxa" w:w="2088"/>
            <w:vAlign w:val="top"/>
            <w:shd w:fill="F8FAFC"/>
          </w:tcPr>
          <w:p>
            <w:pPr>
              <w:spacing w:after="0"/>
            </w:pPr>
            <w:r>
              <w:rPr>
                <w:sz w:val="14"/>
              </w:rPr>
              <w:t>InstituteDomain</w:t>
            </w:r>
          </w:p>
        </w:tc>
        <w:tc>
          <w:tcPr>
            <w:tcW w:type="dxa" w:w="3240"/>
            <w:vAlign w:val="top"/>
            <w:shd w:fill="F8FAFC"/>
          </w:tcPr>
          <w:p>
            <w:pPr>
              <w:spacing w:after="0"/>
            </w:pPr>
            <w:r>
              <w:rPr>
                <w:sz w:val="14"/>
              </w:rPr>
              <w:t>Subdomain/custom-domain mapping</w:t>
            </w:r>
          </w:p>
        </w:tc>
        <w:tc>
          <w:tcPr>
            <w:tcW w:type="dxa" w:w="5040"/>
            <w:vAlign w:val="top"/>
            <w:shd w:fill="F8FAFC"/>
          </w:tcPr>
          <w:p>
            <w:pPr>
              <w:spacing w:after="0"/>
            </w:pPr>
            <w:r>
              <w:rPr>
                <w:sz w:val="14"/>
              </w:rPr>
              <w:t>institute, hostname, type, verified/active status</w:t>
            </w:r>
          </w:p>
        </w:tc>
      </w:tr>
      <w:tr>
        <w:tc>
          <w:tcPr>
            <w:tcW w:type="dxa" w:w="2088"/>
            <w:vAlign w:val="top"/>
          </w:tcPr>
          <w:p>
            <w:pPr>
              <w:spacing w:after="0"/>
            </w:pPr>
            <w:r>
              <w:rPr>
                <w:sz w:val="14"/>
              </w:rPr>
              <w:t>User</w:t>
            </w:r>
          </w:p>
        </w:tc>
        <w:tc>
          <w:tcPr>
            <w:tcW w:type="dxa" w:w="3240"/>
            <w:vAlign w:val="top"/>
          </w:tcPr>
          <w:p>
            <w:pPr>
              <w:spacing w:after="0"/>
            </w:pPr>
            <w:r>
              <w:rPr>
                <w:sz w:val="14"/>
              </w:rPr>
              <w:t>Authentication identity</w:t>
            </w:r>
          </w:p>
        </w:tc>
        <w:tc>
          <w:tcPr>
            <w:tcW w:type="dxa" w:w="5040"/>
            <w:vAlign w:val="top"/>
          </w:tcPr>
          <w:p>
            <w:pPr>
              <w:spacing w:after="0"/>
            </w:pPr>
            <w:r>
              <w:rPr>
                <w:sz w:val="14"/>
              </w:rPr>
              <w:t>institute nullable for Super Admin, role, email/phone/login identifier, status</w:t>
            </w:r>
          </w:p>
        </w:tc>
      </w:tr>
      <w:tr>
        <w:tc>
          <w:tcPr>
            <w:tcW w:type="dxa" w:w="2088"/>
            <w:vAlign w:val="top"/>
            <w:shd w:fill="F8FAFC"/>
          </w:tcPr>
          <w:p>
            <w:pPr>
              <w:spacing w:after="0"/>
            </w:pPr>
            <w:r>
              <w:rPr>
                <w:sz w:val="14"/>
              </w:rPr>
              <w:t>AdminProfile</w:t>
            </w:r>
          </w:p>
        </w:tc>
        <w:tc>
          <w:tcPr>
            <w:tcW w:type="dxa" w:w="3240"/>
            <w:vAlign w:val="top"/>
            <w:shd w:fill="F8FAFC"/>
          </w:tcPr>
          <w:p>
            <w:pPr>
              <w:spacing w:after="0"/>
            </w:pPr>
            <w:r>
              <w:rPr>
                <w:sz w:val="14"/>
              </w:rPr>
              <w:t>Institute admin metadata</w:t>
            </w:r>
          </w:p>
        </w:tc>
        <w:tc>
          <w:tcPr>
            <w:tcW w:type="dxa" w:w="5040"/>
            <w:vAlign w:val="top"/>
            <w:shd w:fill="F8FAFC"/>
          </w:tcPr>
          <w:p>
            <w:pPr>
              <w:spacing w:after="0"/>
            </w:pPr>
            <w:r>
              <w:rPr>
                <w:sz w:val="14"/>
              </w:rPr>
              <w:t>user, institute</w:t>
            </w:r>
          </w:p>
        </w:tc>
      </w:tr>
      <w:tr>
        <w:tc>
          <w:tcPr>
            <w:tcW w:type="dxa" w:w="2088"/>
            <w:vAlign w:val="top"/>
          </w:tcPr>
          <w:p>
            <w:pPr>
              <w:spacing w:after="0"/>
            </w:pPr>
            <w:r>
              <w:rPr>
                <w:sz w:val="14"/>
              </w:rPr>
              <w:t>TeacherProfile</w:t>
            </w:r>
          </w:p>
        </w:tc>
        <w:tc>
          <w:tcPr>
            <w:tcW w:type="dxa" w:w="3240"/>
            <w:vAlign w:val="top"/>
          </w:tcPr>
          <w:p>
            <w:pPr>
              <w:spacing w:after="0"/>
            </w:pPr>
            <w:r>
              <w:rPr>
                <w:sz w:val="14"/>
              </w:rPr>
              <w:t>Teacher professional data</w:t>
            </w:r>
          </w:p>
        </w:tc>
        <w:tc>
          <w:tcPr>
            <w:tcW w:type="dxa" w:w="5040"/>
            <w:vAlign w:val="top"/>
          </w:tcPr>
          <w:p>
            <w:pPr>
              <w:spacing w:after="0"/>
            </w:pPr>
            <w:r>
              <w:rPr>
                <w:sz w:val="14"/>
              </w:rPr>
              <w:t>user, institute, qualification, experience, joining date</w:t>
            </w:r>
          </w:p>
        </w:tc>
      </w:tr>
      <w:tr>
        <w:tc>
          <w:tcPr>
            <w:tcW w:type="dxa" w:w="2088"/>
            <w:vAlign w:val="top"/>
            <w:shd w:fill="F8FAFC"/>
          </w:tcPr>
          <w:p>
            <w:pPr>
              <w:spacing w:after="0"/>
            </w:pPr>
            <w:r>
              <w:rPr>
                <w:sz w:val="14"/>
              </w:rPr>
              <w:t>StudentProfile</w:t>
            </w:r>
          </w:p>
        </w:tc>
        <w:tc>
          <w:tcPr>
            <w:tcW w:type="dxa" w:w="3240"/>
            <w:vAlign w:val="top"/>
            <w:shd w:fill="F8FAFC"/>
          </w:tcPr>
          <w:p>
            <w:pPr>
              <w:spacing w:after="0"/>
            </w:pPr>
            <w:r>
              <w:rPr>
                <w:sz w:val="14"/>
              </w:rPr>
              <w:t>Student identity/academic profile</w:t>
            </w:r>
          </w:p>
        </w:tc>
        <w:tc>
          <w:tcPr>
            <w:tcW w:type="dxa" w:w="5040"/>
            <w:vAlign w:val="top"/>
            <w:shd w:fill="F8FAFC"/>
          </w:tcPr>
          <w:p>
            <w:pPr>
              <w:spacing w:after="0"/>
            </w:pPr>
            <w:r>
              <w:rPr>
                <w:sz w:val="14"/>
              </w:rPr>
              <w:t>user, institute, roll number, current batch/enrollment, joining date</w:t>
            </w:r>
          </w:p>
        </w:tc>
      </w:tr>
      <w:tr>
        <w:tc>
          <w:tcPr>
            <w:tcW w:type="dxa" w:w="2088"/>
            <w:vAlign w:val="top"/>
          </w:tcPr>
          <w:p>
            <w:pPr>
              <w:spacing w:after="0"/>
            </w:pPr>
            <w:r>
              <w:rPr>
                <w:sz w:val="14"/>
              </w:rPr>
              <w:t>ParentProfile</w:t>
            </w:r>
          </w:p>
        </w:tc>
        <w:tc>
          <w:tcPr>
            <w:tcW w:type="dxa" w:w="3240"/>
            <w:vAlign w:val="top"/>
          </w:tcPr>
          <w:p>
            <w:pPr>
              <w:spacing w:after="0"/>
            </w:pPr>
            <w:r>
              <w:rPr>
                <w:sz w:val="14"/>
              </w:rPr>
              <w:t>Parent identity/contact data</w:t>
            </w:r>
          </w:p>
        </w:tc>
        <w:tc>
          <w:tcPr>
            <w:tcW w:type="dxa" w:w="5040"/>
            <w:vAlign w:val="top"/>
          </w:tcPr>
          <w:p>
            <w:pPr>
              <w:spacing w:after="0"/>
            </w:pPr>
            <w:r>
              <w:rPr>
                <w:sz w:val="14"/>
              </w:rPr>
              <w:t>user, institute, relationship/contact metadata</w:t>
            </w:r>
          </w:p>
        </w:tc>
      </w:tr>
      <w:tr>
        <w:tc>
          <w:tcPr>
            <w:tcW w:type="dxa" w:w="2088"/>
            <w:vAlign w:val="top"/>
            <w:shd w:fill="F8FAFC"/>
          </w:tcPr>
          <w:p>
            <w:pPr>
              <w:spacing w:after="0"/>
            </w:pPr>
            <w:r>
              <w:rPr>
                <w:sz w:val="14"/>
              </w:rPr>
              <w:t>ParentStudentLink</w:t>
            </w:r>
          </w:p>
        </w:tc>
        <w:tc>
          <w:tcPr>
            <w:tcW w:type="dxa" w:w="3240"/>
            <w:vAlign w:val="top"/>
            <w:shd w:fill="F8FAFC"/>
          </w:tcPr>
          <w:p>
            <w:pPr>
              <w:spacing w:after="0"/>
            </w:pPr>
            <w:r>
              <w:rPr>
                <w:sz w:val="14"/>
              </w:rPr>
              <w:t>Links parent to one or more children</w:t>
            </w:r>
          </w:p>
        </w:tc>
        <w:tc>
          <w:tcPr>
            <w:tcW w:type="dxa" w:w="5040"/>
            <w:vAlign w:val="top"/>
            <w:shd w:fill="F8FAFC"/>
          </w:tcPr>
          <w:p>
            <w:pPr>
              <w:spacing w:after="0"/>
            </w:pPr>
            <w:r>
              <w:rPr>
                <w:sz w:val="14"/>
              </w:rPr>
              <w:t>institute, parent, student, relationship</w:t>
            </w:r>
          </w:p>
        </w:tc>
      </w:tr>
      <w:tr>
        <w:tc>
          <w:tcPr>
            <w:tcW w:type="dxa" w:w="2088"/>
            <w:vAlign w:val="top"/>
          </w:tcPr>
          <w:p>
            <w:pPr>
              <w:spacing w:after="0"/>
            </w:pPr>
            <w:r>
              <w:rPr>
                <w:sz w:val="14"/>
              </w:rPr>
              <w:t>AcademicYear</w:t>
            </w:r>
          </w:p>
        </w:tc>
        <w:tc>
          <w:tcPr>
            <w:tcW w:type="dxa" w:w="3240"/>
            <w:vAlign w:val="top"/>
          </w:tcPr>
          <w:p>
            <w:pPr>
              <w:spacing w:after="0"/>
            </w:pPr>
            <w:r>
              <w:rPr>
                <w:sz w:val="14"/>
              </w:rPr>
              <w:t>Institute academic period</w:t>
            </w:r>
          </w:p>
        </w:tc>
        <w:tc>
          <w:tcPr>
            <w:tcW w:type="dxa" w:w="5040"/>
            <w:vAlign w:val="top"/>
          </w:tcPr>
          <w:p>
            <w:pPr>
              <w:spacing w:after="0"/>
            </w:pPr>
            <w:r>
              <w:rPr>
                <w:sz w:val="14"/>
              </w:rPr>
              <w:t>institute, name, start/end dates, active flag</w:t>
            </w:r>
          </w:p>
        </w:tc>
      </w:tr>
      <w:tr>
        <w:tc>
          <w:tcPr>
            <w:tcW w:type="dxa" w:w="2088"/>
            <w:vAlign w:val="top"/>
            <w:shd w:fill="F8FAFC"/>
          </w:tcPr>
          <w:p>
            <w:pPr>
              <w:spacing w:after="0"/>
            </w:pPr>
            <w:r>
              <w:rPr>
                <w:sz w:val="14"/>
              </w:rPr>
              <w:t>Subject</w:t>
            </w:r>
          </w:p>
        </w:tc>
        <w:tc>
          <w:tcPr>
            <w:tcW w:type="dxa" w:w="3240"/>
            <w:vAlign w:val="top"/>
            <w:shd w:fill="F8FAFC"/>
          </w:tcPr>
          <w:p>
            <w:pPr>
              <w:spacing w:after="0"/>
            </w:pPr>
            <w:r>
              <w:rPr>
                <w:sz w:val="14"/>
              </w:rPr>
              <w:t>Subject catalog</w:t>
            </w:r>
          </w:p>
        </w:tc>
        <w:tc>
          <w:tcPr>
            <w:tcW w:type="dxa" w:w="5040"/>
            <w:vAlign w:val="top"/>
            <w:shd w:fill="F8FAFC"/>
          </w:tcPr>
          <w:p>
            <w:pPr>
              <w:spacing w:after="0"/>
            </w:pPr>
            <w:r>
              <w:rPr>
                <w:sz w:val="14"/>
              </w:rPr>
              <w:t>institute, name/code</w:t>
            </w:r>
          </w:p>
        </w:tc>
      </w:tr>
      <w:tr>
        <w:tc>
          <w:tcPr>
            <w:tcW w:type="dxa" w:w="2088"/>
            <w:vAlign w:val="top"/>
          </w:tcPr>
          <w:p>
            <w:pPr>
              <w:spacing w:after="0"/>
            </w:pPr>
            <w:r>
              <w:rPr>
                <w:sz w:val="14"/>
              </w:rPr>
              <w:t>Batch</w:t>
            </w:r>
          </w:p>
        </w:tc>
        <w:tc>
          <w:tcPr>
            <w:tcW w:type="dxa" w:w="3240"/>
            <w:vAlign w:val="top"/>
          </w:tcPr>
          <w:p>
            <w:pPr>
              <w:spacing w:after="0"/>
            </w:pPr>
            <w:r>
              <w:rPr>
                <w:sz w:val="14"/>
              </w:rPr>
              <w:t>Class/batch group</w:t>
            </w:r>
          </w:p>
        </w:tc>
        <w:tc>
          <w:tcPr>
            <w:tcW w:type="dxa" w:w="5040"/>
            <w:vAlign w:val="top"/>
          </w:tcPr>
          <w:p>
            <w:pPr>
              <w:spacing w:after="0"/>
            </w:pPr>
            <w:r>
              <w:rPr>
                <w:sz w:val="14"/>
              </w:rPr>
              <w:t>institute, academic year, name, room, timings/status</w:t>
            </w:r>
          </w:p>
        </w:tc>
      </w:tr>
      <w:tr>
        <w:tc>
          <w:tcPr>
            <w:tcW w:type="dxa" w:w="2088"/>
            <w:vAlign w:val="top"/>
            <w:shd w:fill="F8FAFC"/>
          </w:tcPr>
          <w:p>
            <w:pPr>
              <w:spacing w:after="0"/>
            </w:pPr>
            <w:r>
              <w:rPr>
                <w:sz w:val="14"/>
              </w:rPr>
              <w:t>Enrollment</w:t>
            </w:r>
          </w:p>
        </w:tc>
        <w:tc>
          <w:tcPr>
            <w:tcW w:type="dxa" w:w="3240"/>
            <w:vAlign w:val="top"/>
            <w:shd w:fill="F8FAFC"/>
          </w:tcPr>
          <w:p>
            <w:pPr>
              <w:spacing w:after="0"/>
            </w:pPr>
            <w:r>
              <w:rPr>
                <w:sz w:val="14"/>
              </w:rPr>
              <w:t>Student membership in batch</w:t>
            </w:r>
          </w:p>
        </w:tc>
        <w:tc>
          <w:tcPr>
            <w:tcW w:type="dxa" w:w="5040"/>
            <w:vAlign w:val="top"/>
            <w:shd w:fill="F8FAFC"/>
          </w:tcPr>
          <w:p>
            <w:pPr>
              <w:spacing w:after="0"/>
            </w:pPr>
            <w:r>
              <w:rPr>
                <w:sz w:val="14"/>
              </w:rPr>
              <w:t>institute, student, batch, academic year, active/start/end</w:t>
            </w:r>
          </w:p>
        </w:tc>
      </w:tr>
      <w:tr>
        <w:tc>
          <w:tcPr>
            <w:tcW w:type="dxa" w:w="2088"/>
            <w:vAlign w:val="top"/>
          </w:tcPr>
          <w:p>
            <w:pPr>
              <w:spacing w:after="0"/>
            </w:pPr>
            <w:r>
              <w:rPr>
                <w:sz w:val="14"/>
              </w:rPr>
              <w:t>TeacherAssignment</w:t>
            </w:r>
          </w:p>
        </w:tc>
        <w:tc>
          <w:tcPr>
            <w:tcW w:type="dxa" w:w="3240"/>
            <w:vAlign w:val="top"/>
          </w:tcPr>
          <w:p>
            <w:pPr>
              <w:spacing w:after="0"/>
            </w:pPr>
            <w:r>
              <w:rPr>
                <w:sz w:val="14"/>
              </w:rPr>
              <w:t>Teacher scope</w:t>
            </w:r>
          </w:p>
        </w:tc>
        <w:tc>
          <w:tcPr>
            <w:tcW w:type="dxa" w:w="5040"/>
            <w:vAlign w:val="top"/>
          </w:tcPr>
          <w:p>
            <w:pPr>
              <w:spacing w:after="0"/>
            </w:pPr>
            <w:r>
              <w:rPr>
                <w:sz w:val="14"/>
              </w:rPr>
              <w:t>institute, teacher, batch, subject, active</w:t>
            </w:r>
          </w:p>
        </w:tc>
      </w:tr>
    </w:tbl>
    <w:p>
      <w:pPr>
        <w:widowControl/>
        <w:spacing w:after="20"/>
      </w:pPr>
    </w:p>
    <w:p>
      <w:pPr>
        <w:pStyle w:val="Heading2"/>
        <w:widowControl/>
      </w:pPr>
      <w:r>
        <w:t>Relationship expectations</w:t>
      </w:r>
    </w:p>
    <w:tbl>
      <w:tblPr>
        <w:tblStyle w:val="TableGrid"/>
        <w:tblW w:type="auto" w:w="0"/>
        <w:jc w:val="center"/>
        <w:tblLook w:firstColumn="1" w:firstRow="1" w:lastColumn="0" w:lastRow="0" w:noHBand="0" w:noVBand="1" w:val="04A0"/>
      </w:tblPr>
      <w:tblGrid>
        <w:gridCol w:w="10282"/>
      </w:tblGrid>
      <w:tr>
        <w:tc>
          <w:tcPr>
            <w:tcW w:type="dxa" w:w="10282"/>
            <w:shd w:fill="F8FAFC"/>
          </w:tcPr>
          <w:p>
            <w:pPr>
              <w:pStyle w:val="Codeish"/>
              <w:spacing w:after="0"/>
            </w:pPr>
            <w:r/>
            <w:r>
              <w:t>Institute 1---* Users</w:t>
            </w:r>
          </w:p>
          <w:p>
            <w:pPr>
              <w:pStyle w:val="Codeish"/>
              <w:spacing w:after="0"/>
            </w:pPr>
            <w:r>
              <w:t>Institute 1---* Batches</w:t>
            </w:r>
          </w:p>
          <w:p>
            <w:pPr>
              <w:pStyle w:val="Codeish"/>
              <w:spacing w:after="0"/>
            </w:pPr>
            <w:r>
              <w:t>Batch *---* Students via Enrollment</w:t>
            </w:r>
          </w:p>
          <w:p>
            <w:pPr>
              <w:pStyle w:val="Codeish"/>
              <w:spacing w:after="0"/>
            </w:pPr>
            <w:r>
              <w:t>Teacher *---* Batch/Subject via TeacherAssignment</w:t>
            </w:r>
          </w:p>
          <w:p>
            <w:pPr>
              <w:pStyle w:val="Codeish"/>
              <w:spacing w:after="0"/>
            </w:pPr>
            <w:r>
              <w:t>Parent *---* Student via ParentStudentLink</w:t>
            </w:r>
          </w:p>
          <w:p>
            <w:pPr>
              <w:pStyle w:val="Codeish"/>
              <w:spacing w:after="0"/>
            </w:pPr>
            <w:r>
              <w:t>AcademicYear belongs to Institute</w:t>
            </w:r>
          </w:p>
        </w:tc>
      </w:tr>
    </w:tbl>
    <w:p>
      <w:pPr>
        <w:widowControl/>
        <w:spacing w:after="0"/>
      </w:pPr>
    </w:p>
    <w:p>
      <w:pPr>
        <w:widowControl/>
      </w:pPr>
      <w:r>
        <w:br w:type="page"/>
      </w:r>
    </w:p>
    <w:p>
      <w:pPr>
        <w:pStyle w:val="Heading1"/>
        <w:widowControl/>
      </w:pPr>
      <w:r>
        <w:t>9. Core Data Model — Operational Modules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1800"/>
            <w:shd w:fill="13253A"/>
          </w:tcPr>
          <w:p>
            <w:pPr>
              <w:spacing w:after="0"/>
            </w:pPr>
            <w:r>
              <w:rPr>
                <w:b/>
                <w:color w:val="FFFFFF"/>
                <w:sz w:val="15"/>
              </w:rPr>
              <w:t>Module</w:t>
            </w:r>
          </w:p>
        </w:tc>
        <w:tc>
          <w:tcPr>
            <w:tcW w:type="dxa" w:w="3096"/>
            <w:shd w:fill="13253A"/>
          </w:tcPr>
          <w:p>
            <w:pPr>
              <w:spacing w:after="0"/>
            </w:pPr>
            <w:r>
              <w:rPr>
                <w:b/>
                <w:color w:val="FFFFFF"/>
                <w:sz w:val="15"/>
              </w:rPr>
              <w:t>Recommended entities</w:t>
            </w:r>
          </w:p>
        </w:tc>
        <w:tc>
          <w:tcPr>
            <w:tcW w:type="dxa" w:w="5472"/>
            <w:shd w:fill="13253A"/>
          </w:tcPr>
          <w:p>
            <w:pPr>
              <w:spacing w:after="0"/>
            </w:pPr>
            <w:r>
              <w:rPr>
                <w:b/>
                <w:color w:val="FFFFFF"/>
                <w:sz w:val="15"/>
              </w:rPr>
              <w:t>Important data / constraints</w:t>
            </w:r>
          </w:p>
        </w:tc>
      </w:tr>
      <w:tr>
        <w:tc>
          <w:tcPr>
            <w:tcW w:type="dxa" w:w="1800"/>
            <w:vAlign w:val="top"/>
          </w:tcPr>
          <w:p>
            <w:pPr>
              <w:spacing w:after="0"/>
            </w:pPr>
            <w:r>
              <w:rPr>
                <w:sz w:val="14"/>
              </w:rPr>
              <w:t>Timetable</w:t>
            </w:r>
          </w:p>
        </w:tc>
        <w:tc>
          <w:tcPr>
            <w:tcW w:type="dxa" w:w="3096"/>
            <w:vAlign w:val="top"/>
          </w:tcPr>
          <w:p>
            <w:pPr>
              <w:spacing w:after="0"/>
            </w:pPr>
            <w:r>
              <w:rPr>
                <w:sz w:val="14"/>
              </w:rPr>
              <w:t>TimetableEntry</w:t>
            </w:r>
          </w:p>
        </w:tc>
        <w:tc>
          <w:tcPr>
            <w:tcW w:type="dxa" w:w="5472"/>
            <w:vAlign w:val="top"/>
          </w:tcPr>
          <w:p>
            <w:pPr>
              <w:spacing w:after="0"/>
            </w:pPr>
            <w:r>
              <w:rPr>
                <w:sz w:val="14"/>
              </w:rPr>
              <w:t>institute, batch, subject, teacher, room, weekday/date, start/end time, status; detect teacher/room conflicts</w:t>
            </w:r>
          </w:p>
        </w:tc>
      </w:tr>
      <w:tr>
        <w:tc>
          <w:tcPr>
            <w:tcW w:type="dxa" w:w="1800"/>
            <w:vAlign w:val="top"/>
            <w:shd w:fill="F8FAFC"/>
          </w:tcPr>
          <w:p>
            <w:pPr>
              <w:spacing w:after="0"/>
            </w:pPr>
            <w:r>
              <w:rPr>
                <w:sz w:val="14"/>
              </w:rPr>
              <w:t>Attendance</w:t>
            </w:r>
          </w:p>
        </w:tc>
        <w:tc>
          <w:tcPr>
            <w:tcW w:type="dxa" w:w="3096"/>
            <w:vAlign w:val="top"/>
            <w:shd w:fill="F8FAFC"/>
          </w:tcPr>
          <w:p>
            <w:pPr>
              <w:spacing w:after="0"/>
            </w:pPr>
            <w:r>
              <w:rPr>
                <w:sz w:val="14"/>
              </w:rPr>
              <w:t>AttendanceSession; AttendanceRecord</w:t>
            </w:r>
          </w:p>
        </w:tc>
        <w:tc>
          <w:tcPr>
            <w:tcW w:type="dxa" w:w="5472"/>
            <w:vAlign w:val="top"/>
            <w:shd w:fill="F8FAFC"/>
          </w:tcPr>
          <w:p>
            <w:pPr>
              <w:spacing w:after="0"/>
            </w:pPr>
            <w:r>
              <w:rPr>
                <w:sz w:val="14"/>
              </w:rPr>
              <w:t>session tied to batch/subject/date; one record per student/session; status PRESENT/ABSENT/LATE</w:t>
            </w:r>
          </w:p>
        </w:tc>
      </w:tr>
      <w:tr>
        <w:tc>
          <w:tcPr>
            <w:tcW w:type="dxa" w:w="1800"/>
            <w:vAlign w:val="top"/>
          </w:tcPr>
          <w:p>
            <w:pPr>
              <w:spacing w:after="0"/>
            </w:pPr>
            <w:r>
              <w:rPr>
                <w:sz w:val="14"/>
              </w:rPr>
              <w:t>Fees</w:t>
            </w:r>
          </w:p>
        </w:tc>
        <w:tc>
          <w:tcPr>
            <w:tcW w:type="dxa" w:w="3096"/>
            <w:vAlign w:val="top"/>
          </w:tcPr>
          <w:p>
            <w:pPr>
              <w:spacing w:after="0"/>
            </w:pPr>
            <w:r>
              <w:rPr>
                <w:sz w:val="14"/>
              </w:rPr>
              <w:t>FeePlan; StudentFeeAccount; FeeInstallment; FeePayment; Receipt</w:t>
            </w:r>
          </w:p>
        </w:tc>
        <w:tc>
          <w:tcPr>
            <w:tcW w:type="dxa" w:w="5472"/>
            <w:vAlign w:val="top"/>
          </w:tcPr>
          <w:p>
            <w:pPr>
              <w:spacing w:after="0"/>
            </w:pPr>
            <w:r>
              <w:rPr>
                <w:sz w:val="14"/>
              </w:rPr>
              <w:t>all tenant-scoped; immutable payment history preferred; pending derived from plan/payments; audit edits</w:t>
            </w:r>
          </w:p>
        </w:tc>
      </w:tr>
      <w:tr>
        <w:tc>
          <w:tcPr>
            <w:tcW w:type="dxa" w:w="1800"/>
            <w:vAlign w:val="top"/>
            <w:shd w:fill="F8FAFC"/>
          </w:tcPr>
          <w:p>
            <w:pPr>
              <w:spacing w:after="0"/>
            </w:pPr>
            <w:r>
              <w:rPr>
                <w:sz w:val="14"/>
              </w:rPr>
              <w:t>Notes &amp; Materials</w:t>
            </w:r>
          </w:p>
        </w:tc>
        <w:tc>
          <w:tcPr>
            <w:tcW w:type="dxa" w:w="3096"/>
            <w:vAlign w:val="top"/>
            <w:shd w:fill="F8FAFC"/>
          </w:tcPr>
          <w:p>
            <w:pPr>
              <w:spacing w:after="0"/>
            </w:pPr>
            <w:r>
              <w:rPr>
                <w:sz w:val="14"/>
              </w:rPr>
              <w:t>StudyMaterial</w:t>
            </w:r>
          </w:p>
        </w:tc>
        <w:tc>
          <w:tcPr>
            <w:tcW w:type="dxa" w:w="5472"/>
            <w:vAlign w:val="top"/>
            <w:shd w:fill="F8FAFC"/>
          </w:tcPr>
          <w:p>
            <w:pPr>
              <w:spacing w:after="0"/>
            </w:pPr>
            <w:r>
              <w:rPr>
                <w:sz w:val="14"/>
              </w:rPr>
              <w:t>batch/subject/topic, uploader, file/link, visibility, important flag, storage key</w:t>
            </w:r>
          </w:p>
        </w:tc>
      </w:tr>
      <w:tr>
        <w:tc>
          <w:tcPr>
            <w:tcW w:type="dxa" w:w="1800"/>
            <w:vAlign w:val="top"/>
          </w:tcPr>
          <w:p>
            <w:pPr>
              <w:spacing w:after="0"/>
            </w:pPr>
            <w:r>
              <w:rPr>
                <w:sz w:val="14"/>
              </w:rPr>
              <w:t>Exams</w:t>
            </w:r>
          </w:p>
        </w:tc>
        <w:tc>
          <w:tcPr>
            <w:tcW w:type="dxa" w:w="3096"/>
            <w:vAlign w:val="top"/>
          </w:tcPr>
          <w:p>
            <w:pPr>
              <w:spacing w:after="0"/>
            </w:pPr>
            <w:r>
              <w:rPr>
                <w:sz w:val="14"/>
              </w:rPr>
              <w:t>Exam; ExamScore</w:t>
            </w:r>
          </w:p>
        </w:tc>
        <w:tc>
          <w:tcPr>
            <w:tcW w:type="dxa" w:w="5472"/>
            <w:vAlign w:val="top"/>
          </w:tcPr>
          <w:p>
            <w:pPr>
              <w:spacing w:after="0"/>
            </w:pPr>
            <w:r>
              <w:rPr>
                <w:sz w:val="14"/>
              </w:rPr>
              <w:t>batch/subject/date/time/marks; score per student; absent support; publication state</w:t>
            </w:r>
          </w:p>
        </w:tc>
      </w:tr>
      <w:tr>
        <w:tc>
          <w:tcPr>
            <w:tcW w:type="dxa" w:w="1800"/>
            <w:vAlign w:val="top"/>
            <w:shd w:fill="F8FAFC"/>
          </w:tcPr>
          <w:p>
            <w:pPr>
              <w:spacing w:after="0"/>
            </w:pPr>
            <w:r>
              <w:rPr>
                <w:sz w:val="14"/>
              </w:rPr>
              <w:t>Results</w:t>
            </w:r>
          </w:p>
        </w:tc>
        <w:tc>
          <w:tcPr>
            <w:tcW w:type="dxa" w:w="3096"/>
            <w:vAlign w:val="top"/>
            <w:shd w:fill="F8FAFC"/>
          </w:tcPr>
          <w:p>
            <w:pPr>
              <w:spacing w:after="0"/>
            </w:pPr>
            <w:r>
              <w:rPr>
                <w:sz w:val="14"/>
              </w:rPr>
              <w:t>Derived from Exam + ExamScore, optional ResultPublication</w:t>
            </w:r>
          </w:p>
        </w:tc>
        <w:tc>
          <w:tcPr>
            <w:tcW w:type="dxa" w:w="5472"/>
            <w:vAlign w:val="top"/>
            <w:shd w:fill="F8FAFC"/>
          </w:tcPr>
          <w:p>
            <w:pPr>
              <w:spacing w:after="0"/>
            </w:pPr>
            <w:r>
              <w:rPr>
                <w:sz w:val="14"/>
              </w:rPr>
              <w:t>percentage/pass/grade derived consistently; publication controls visibility</w:t>
            </w:r>
          </w:p>
        </w:tc>
      </w:tr>
      <w:tr>
        <w:tc>
          <w:tcPr>
            <w:tcW w:type="dxa" w:w="1800"/>
            <w:vAlign w:val="top"/>
          </w:tcPr>
          <w:p>
            <w:pPr>
              <w:spacing w:after="0"/>
            </w:pPr>
            <w:r>
              <w:rPr>
                <w:sz w:val="14"/>
              </w:rPr>
              <w:t>Announcements</w:t>
            </w:r>
          </w:p>
        </w:tc>
        <w:tc>
          <w:tcPr>
            <w:tcW w:type="dxa" w:w="3096"/>
            <w:vAlign w:val="top"/>
          </w:tcPr>
          <w:p>
            <w:pPr>
              <w:spacing w:after="0"/>
            </w:pPr>
            <w:r>
              <w:rPr>
                <w:sz w:val="14"/>
              </w:rPr>
              <w:t>Announcement; AnnouncementAudience</w:t>
            </w:r>
          </w:p>
        </w:tc>
        <w:tc>
          <w:tcPr>
            <w:tcW w:type="dxa" w:w="5472"/>
            <w:vAlign w:val="top"/>
          </w:tcPr>
          <w:p>
            <w:pPr>
              <w:spacing w:after="0"/>
            </w:pPr>
            <w:r>
              <w:rPr>
                <w:sz w:val="14"/>
              </w:rPr>
              <w:t>creator, message, dates, important flag; audience type all/students/parents/teachers/batch</w:t>
            </w:r>
          </w:p>
        </w:tc>
      </w:tr>
      <w:tr>
        <w:tc>
          <w:tcPr>
            <w:tcW w:type="dxa" w:w="1800"/>
            <w:vAlign w:val="top"/>
            <w:shd w:fill="F8FAFC"/>
          </w:tcPr>
          <w:p>
            <w:pPr>
              <w:spacing w:after="0"/>
            </w:pPr>
            <w:r>
              <w:rPr>
                <w:sz w:val="14"/>
              </w:rPr>
              <w:t>Notifications</w:t>
            </w:r>
          </w:p>
        </w:tc>
        <w:tc>
          <w:tcPr>
            <w:tcW w:type="dxa" w:w="3096"/>
            <w:vAlign w:val="top"/>
            <w:shd w:fill="F8FAFC"/>
          </w:tcPr>
          <w:p>
            <w:pPr>
              <w:spacing w:after="0"/>
            </w:pPr>
            <w:r>
              <w:rPr>
                <w:sz w:val="14"/>
              </w:rPr>
              <w:t>NotificationEvent / UserNotification</w:t>
            </w:r>
          </w:p>
        </w:tc>
        <w:tc>
          <w:tcPr>
            <w:tcW w:type="dxa" w:w="5472"/>
            <w:vAlign w:val="top"/>
            <w:shd w:fill="F8FAFC"/>
          </w:tcPr>
          <w:p>
            <w:pPr>
              <w:spacing w:after="0"/>
            </w:pPr>
            <w:r>
              <w:rPr>
                <w:sz w:val="14"/>
              </w:rPr>
              <w:t>derived event delivery/feed; no separate business-management module</w:t>
            </w:r>
          </w:p>
        </w:tc>
      </w:tr>
      <w:tr>
        <w:tc>
          <w:tcPr>
            <w:tcW w:type="dxa" w:w="1800"/>
            <w:vAlign w:val="top"/>
          </w:tcPr>
          <w:p>
            <w:pPr>
              <w:spacing w:after="0"/>
            </w:pPr>
            <w:r>
              <w:rPr>
                <w:sz w:val="14"/>
              </w:rPr>
              <w:t>Audit</w:t>
            </w:r>
          </w:p>
        </w:tc>
        <w:tc>
          <w:tcPr>
            <w:tcW w:type="dxa" w:w="3096"/>
            <w:vAlign w:val="top"/>
          </w:tcPr>
          <w:p>
            <w:pPr>
              <w:spacing w:after="0"/>
            </w:pPr>
            <w:r>
              <w:rPr>
                <w:sz w:val="14"/>
              </w:rPr>
              <w:t>AuditLog</w:t>
            </w:r>
          </w:p>
        </w:tc>
        <w:tc>
          <w:tcPr>
            <w:tcW w:type="dxa" w:w="5472"/>
            <w:vAlign w:val="top"/>
          </w:tcPr>
          <w:p>
            <w:pPr>
              <w:spacing w:after="0"/>
            </w:pPr>
            <w:r>
              <w:rPr>
                <w:sz w:val="14"/>
              </w:rPr>
              <w:t>actor, institute, action, entity, entity_id, before/after summary, timestamp/IP where appropriate</w:t>
            </w:r>
          </w:p>
        </w:tc>
      </w:tr>
      <w:tr>
        <w:tc>
          <w:tcPr>
            <w:tcW w:type="dxa" w:w="1800"/>
            <w:vAlign w:val="top"/>
            <w:shd w:fill="F8FAFC"/>
          </w:tcPr>
          <w:p>
            <w:pPr>
              <w:spacing w:after="0"/>
            </w:pPr>
            <w:r>
              <w:rPr>
                <w:sz w:val="14"/>
              </w:rPr>
              <w:t>Subscription</w:t>
            </w:r>
          </w:p>
        </w:tc>
        <w:tc>
          <w:tcPr>
            <w:tcW w:type="dxa" w:w="3096"/>
            <w:vAlign w:val="top"/>
            <w:shd w:fill="F8FAFC"/>
          </w:tcPr>
          <w:p>
            <w:pPr>
              <w:spacing w:after="0"/>
            </w:pPr>
            <w:r>
              <w:rPr>
                <w:sz w:val="14"/>
              </w:rPr>
              <w:t>Plan; InstituteSubscription</w:t>
            </w:r>
          </w:p>
        </w:tc>
        <w:tc>
          <w:tcPr>
            <w:tcW w:type="dxa" w:w="5472"/>
            <w:vAlign w:val="top"/>
            <w:shd w:fill="F8FAFC"/>
          </w:tcPr>
          <w:p>
            <w:pPr>
              <w:spacing w:after="0"/>
            </w:pPr>
            <w:r>
              <w:rPr>
                <w:sz w:val="14"/>
              </w:rPr>
              <w:t>plan name, limits, start/renewal, status, manually recorded payment status for V1</w:t>
            </w:r>
          </w:p>
        </w:tc>
      </w:tr>
      <w:tr>
        <w:tc>
          <w:tcPr>
            <w:tcW w:type="dxa" w:w="1800"/>
            <w:vAlign w:val="top"/>
          </w:tcPr>
          <w:p>
            <w:pPr>
              <w:spacing w:after="0"/>
            </w:pPr>
            <w:r>
              <w:rPr>
                <w:sz w:val="14"/>
              </w:rPr>
              <w:t>Usage</w:t>
            </w:r>
          </w:p>
        </w:tc>
        <w:tc>
          <w:tcPr>
            <w:tcW w:type="dxa" w:w="3096"/>
            <w:vAlign w:val="top"/>
          </w:tcPr>
          <w:p>
            <w:pPr>
              <w:spacing w:after="0"/>
            </w:pPr>
            <w:r>
              <w:rPr>
                <w:sz w:val="14"/>
              </w:rPr>
              <w:t>InstituteUsageSnapshot or computed metrics</w:t>
            </w:r>
          </w:p>
        </w:tc>
        <w:tc>
          <w:tcPr>
            <w:tcW w:type="dxa" w:w="5472"/>
            <w:vAlign w:val="top"/>
          </w:tcPr>
          <w:p>
            <w:pPr>
              <w:spacing w:after="0"/>
            </w:pPr>
            <w:r>
              <w:rPr>
                <w:sz w:val="14"/>
              </w:rPr>
              <w:t>student/user/storage counts; preferably computed or periodically cached</w:t>
            </w:r>
          </w:p>
        </w:tc>
      </w:tr>
    </w:tbl>
    <w:p>
      <w:pPr>
        <w:widowControl/>
        <w:spacing w:after="20"/>
      </w:pPr>
    </w:p>
    <w:p>
      <w:pPr>
        <w:pStyle w:val="Heading2"/>
        <w:widowControl/>
      </w:pPr>
      <w:r>
        <w:t>Data integrity rules</w:t>
      </w:r>
    </w:p>
    <w:p>
      <w:pPr>
        <w:pStyle w:val="ListBullet"/>
        <w:widowControl/>
        <w:spacing w:after="26"/>
        <w:ind w:left="288"/>
      </w:pPr>
      <w:r>
        <w:t>Do not duplicate fee totals or result percentages if they can be reliably derived; cache only when needed.</w:t>
      </w:r>
    </w:p>
    <w:p>
      <w:pPr>
        <w:pStyle w:val="ListBullet"/>
        <w:widowControl/>
        <w:spacing w:after="26"/>
        <w:ind w:left="288"/>
      </w:pPr>
      <w:r>
        <w:t>Payments and published marks should have audit history for changes.</w:t>
      </w:r>
    </w:p>
    <w:p>
      <w:pPr>
        <w:pStyle w:val="ListBullet"/>
        <w:widowControl/>
        <w:spacing w:after="26"/>
        <w:ind w:left="288"/>
      </w:pPr>
      <w:r>
        <w:t>Deleting users should normally be avoided; use active/inactive status to preserve historical records.</w:t>
      </w:r>
    </w:p>
    <w:p>
      <w:pPr>
        <w:pStyle w:val="ListBullet"/>
        <w:widowControl/>
        <w:spacing w:after="26"/>
        <w:ind w:left="288"/>
      </w:pPr>
      <w:r>
        <w:t>Batch changes should preserve enrollment history rather than rewriting history.</w:t>
      </w:r>
    </w:p>
    <w:p>
      <w:pPr>
        <w:pStyle w:val="ListBullet"/>
        <w:widowControl/>
        <w:spacing w:after="26"/>
        <w:ind w:left="288"/>
      </w:pPr>
      <w:r>
        <w:t>Files must be associated with institute ownership and validated before download.</w:t>
      </w:r>
    </w:p>
    <w:p>
      <w:pPr>
        <w:widowControl/>
      </w:pPr>
      <w:r>
        <w:br w:type="page"/>
      </w:r>
    </w:p>
    <w:p>
      <w:pPr>
        <w:pStyle w:val="Heading1"/>
        <w:widowControl/>
      </w:pPr>
      <w:r>
        <w:t>10. Institute Admin Portal — Integrated Requirements</w:t>
      </w:r>
    </w:p>
    <w:tbl>
      <w:tblPr>
        <w:tblW w:type="auto" w:w="0"/>
        <w:jc w:val="center"/>
        <w:tblLook w:firstColumn="1" w:firstRow="1" w:lastColumn="0" w:lastRow="0" w:noHBand="0" w:noVBand="1" w:val="04A0"/>
      </w:tblPr>
      <w:tblGrid>
        <w:gridCol w:w="10282"/>
      </w:tblGrid>
      <w:tr>
        <w:tc>
          <w:tcPr>
            <w:tcW w:type="dxa" w:w="10282"/>
            <w:shd w:fill="EEF6FF"/>
            <w:vAlign w:val="center"/>
          </w:tcPr>
          <w:p>
            <w:pPr>
              <w:spacing w:after="40"/>
            </w:pPr>
            <w:r>
              <w:rPr>
                <w:b/>
                <w:color w:val="1677FF"/>
                <w:sz w:val="20"/>
              </w:rPr>
              <w:t>Detailed source</w:t>
            </w:r>
          </w:p>
          <w:p>
            <w:pPr>
              <w:pStyle w:val="SpecNote"/>
              <w:spacing w:after="80"/>
            </w:pPr>
            <w:r>
              <w:t>Use GrowthSathi_Class_System_Admin_Portal_Specification.docx for full page behavior. This section defines how Admin participates in the whole system.</w:t>
            </w:r>
          </w:p>
        </w:tc>
      </w:tr>
    </w:tbl>
    <w:p>
      <w:pPr>
        <w:widowControl/>
        <w:spacing w:after="0"/>
      </w:pP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shd w:fill="13253A"/>
          </w:tcPr>
          <w:p>
            <w:pPr>
              <w:spacing w:after="0"/>
            </w:pPr>
            <w:r>
              <w:rPr>
                <w:b/>
                <w:color w:val="FFFFFF"/>
                <w:sz w:val="15"/>
              </w:rPr>
              <w:t>Module</w:t>
            </w:r>
          </w:p>
        </w:tc>
        <w:tc>
          <w:tcPr>
            <w:tcW w:type="dxa" w:w="8136"/>
            <w:shd w:fill="13253A"/>
          </w:tcPr>
          <w:p>
            <w:pPr>
              <w:spacing w:after="0"/>
            </w:pPr>
            <w:r>
              <w:rPr>
                <w:b/>
                <w:color w:val="FFFFFF"/>
                <w:sz w:val="15"/>
              </w:rPr>
              <w:t>Admin responsibilities / whole-system effect</w:t>
            </w:r>
          </w:p>
        </w:tc>
      </w:tr>
      <w:tr>
        <w:tc>
          <w:tcPr>
            <w:tcW w:type="dxa" w:w="2232"/>
            <w:vAlign w:val="top"/>
          </w:tcPr>
          <w:p>
            <w:pPr>
              <w:spacing w:after="0"/>
            </w:pPr>
            <w:r>
              <w:rPr>
                <w:sz w:val="14"/>
              </w:rPr>
              <w:t>Dashboard</w:t>
            </w:r>
          </w:p>
        </w:tc>
        <w:tc>
          <w:tcPr>
            <w:tcW w:type="dxa" w:w="8136"/>
            <w:vAlign w:val="top"/>
          </w:tcPr>
          <w:p>
            <w:pPr>
              <w:spacing w:after="0"/>
            </w:pPr>
            <w:r>
              <w:rPr>
                <w:sz w:val="14"/>
              </w:rPr>
              <w:t>Shows institute operational snapshot based on real module data; no duplicated manual metrics.</w:t>
            </w:r>
          </w:p>
        </w:tc>
      </w:tr>
      <w:tr>
        <w:tc>
          <w:tcPr>
            <w:tcW w:type="dxa" w:w="2232"/>
            <w:vAlign w:val="top"/>
            <w:shd w:fill="F8FAFC"/>
          </w:tcPr>
          <w:p>
            <w:pPr>
              <w:spacing w:after="0"/>
            </w:pPr>
            <w:r>
              <w:rPr>
                <w:sz w:val="14"/>
              </w:rPr>
              <w:t>Students</w:t>
            </w:r>
          </w:p>
        </w:tc>
        <w:tc>
          <w:tcPr>
            <w:tcW w:type="dxa" w:w="8136"/>
            <w:vAlign w:val="top"/>
            <w:shd w:fill="F8FAFC"/>
          </w:tcPr>
          <w:p>
            <w:pPr>
              <w:spacing w:after="0"/>
            </w:pPr>
            <w:r>
              <w:rPr>
                <w:sz w:val="14"/>
              </w:rPr>
              <w:t>Create/manage student profile and login; assign/change batch; link parent; access documents, attendance, fees and results.</w:t>
            </w:r>
          </w:p>
        </w:tc>
      </w:tr>
      <w:tr>
        <w:tc>
          <w:tcPr>
            <w:tcW w:type="dxa" w:w="2232"/>
            <w:vAlign w:val="top"/>
          </w:tcPr>
          <w:p>
            <w:pPr>
              <w:spacing w:after="0"/>
            </w:pPr>
            <w:r>
              <w:rPr>
                <w:sz w:val="14"/>
              </w:rPr>
              <w:t>Teachers</w:t>
            </w:r>
          </w:p>
        </w:tc>
        <w:tc>
          <w:tcPr>
            <w:tcW w:type="dxa" w:w="8136"/>
            <w:vAlign w:val="top"/>
          </w:tcPr>
          <w:p>
            <w:pPr>
              <w:spacing w:after="0"/>
            </w:pPr>
            <w:r>
              <w:rPr>
                <w:sz w:val="14"/>
              </w:rPr>
              <w:t>Create/manage teacher account; assign subjects/batches; enable/disable access.</w:t>
            </w:r>
          </w:p>
        </w:tc>
      </w:tr>
      <w:tr>
        <w:tc>
          <w:tcPr>
            <w:tcW w:type="dxa" w:w="2232"/>
            <w:vAlign w:val="top"/>
            <w:shd w:fill="F8FAFC"/>
          </w:tcPr>
          <w:p>
            <w:pPr>
              <w:spacing w:after="0"/>
            </w:pPr>
            <w:r>
              <w:rPr>
                <w:sz w:val="14"/>
              </w:rPr>
              <w:t>Parents</w:t>
            </w:r>
          </w:p>
        </w:tc>
        <w:tc>
          <w:tcPr>
            <w:tcW w:type="dxa" w:w="8136"/>
            <w:vAlign w:val="top"/>
            <w:shd w:fill="F8FAFC"/>
          </w:tcPr>
          <w:p>
            <w:pPr>
              <w:spacing w:after="0"/>
            </w:pPr>
            <w:r>
              <w:rPr>
                <w:sz w:val="14"/>
              </w:rPr>
              <w:t>Create/manage parent accounts and parent-child links.</w:t>
            </w:r>
          </w:p>
        </w:tc>
      </w:tr>
      <w:tr>
        <w:tc>
          <w:tcPr>
            <w:tcW w:type="dxa" w:w="2232"/>
            <w:vAlign w:val="top"/>
          </w:tcPr>
          <w:p>
            <w:pPr>
              <w:spacing w:after="0"/>
            </w:pPr>
            <w:r>
              <w:rPr>
                <w:sz w:val="14"/>
              </w:rPr>
              <w:t>Batches</w:t>
            </w:r>
          </w:p>
        </w:tc>
        <w:tc>
          <w:tcPr>
            <w:tcW w:type="dxa" w:w="8136"/>
            <w:vAlign w:val="top"/>
          </w:tcPr>
          <w:p>
            <w:pPr>
              <w:spacing w:after="0"/>
            </w:pPr>
            <w:r>
              <w:rPr>
                <w:sz w:val="14"/>
              </w:rPr>
              <w:t>Create/manage batches, subjects, teachers and students; batch becomes key content/access scope.</w:t>
            </w:r>
          </w:p>
        </w:tc>
      </w:tr>
      <w:tr>
        <w:tc>
          <w:tcPr>
            <w:tcW w:type="dxa" w:w="2232"/>
            <w:vAlign w:val="top"/>
            <w:shd w:fill="F8FAFC"/>
          </w:tcPr>
          <w:p>
            <w:pPr>
              <w:spacing w:after="0"/>
            </w:pPr>
            <w:r>
              <w:rPr>
                <w:sz w:val="14"/>
              </w:rPr>
              <w:t>Timetable</w:t>
            </w:r>
          </w:p>
        </w:tc>
        <w:tc>
          <w:tcPr>
            <w:tcW w:type="dxa" w:w="8136"/>
            <w:vAlign w:val="top"/>
            <w:shd w:fill="F8FAFC"/>
          </w:tcPr>
          <w:p>
            <w:pPr>
              <w:spacing w:after="0"/>
            </w:pPr>
            <w:r>
              <w:rPr>
                <w:sz w:val="14"/>
              </w:rPr>
              <w:t>Official schedule authority; create/edit/reschedule/cancel lectures and resolve conflicts.</w:t>
            </w:r>
          </w:p>
        </w:tc>
      </w:tr>
      <w:tr>
        <w:tc>
          <w:tcPr>
            <w:tcW w:type="dxa" w:w="2232"/>
            <w:vAlign w:val="top"/>
          </w:tcPr>
          <w:p>
            <w:pPr>
              <w:spacing w:after="0"/>
            </w:pPr>
            <w:r>
              <w:rPr>
                <w:sz w:val="14"/>
              </w:rPr>
              <w:t>Attendance</w:t>
            </w:r>
          </w:p>
        </w:tc>
        <w:tc>
          <w:tcPr>
            <w:tcW w:type="dxa" w:w="8136"/>
            <w:vAlign w:val="top"/>
          </w:tcPr>
          <w:p>
            <w:pPr>
              <w:spacing w:after="0"/>
            </w:pPr>
            <w:r>
              <w:rPr>
                <w:sz w:val="14"/>
              </w:rPr>
              <w:t>View/manage institute attendance; teachers submit scoped attendance; Admin can correct according to audit policy.</w:t>
            </w:r>
          </w:p>
        </w:tc>
      </w:tr>
      <w:tr>
        <w:tc>
          <w:tcPr>
            <w:tcW w:type="dxa" w:w="2232"/>
            <w:vAlign w:val="top"/>
            <w:shd w:fill="F8FAFC"/>
          </w:tcPr>
          <w:p>
            <w:pPr>
              <w:spacing w:after="0"/>
            </w:pPr>
            <w:r>
              <w:rPr>
                <w:sz w:val="14"/>
              </w:rPr>
              <w:t>Fees</w:t>
            </w:r>
          </w:p>
        </w:tc>
        <w:tc>
          <w:tcPr>
            <w:tcW w:type="dxa" w:w="8136"/>
            <w:vAlign w:val="top"/>
            <w:shd w:fill="F8FAFC"/>
          </w:tcPr>
          <w:p>
            <w:pPr>
              <w:spacing w:after="0"/>
            </w:pPr>
            <w:r>
              <w:rPr>
                <w:sz w:val="14"/>
              </w:rPr>
              <w:t>Set fee structure/installments; record payment; issue receipt; send reminders; view fee summaries.</w:t>
            </w:r>
          </w:p>
        </w:tc>
      </w:tr>
      <w:tr>
        <w:tc>
          <w:tcPr>
            <w:tcW w:type="dxa" w:w="2232"/>
            <w:vAlign w:val="top"/>
          </w:tcPr>
          <w:p>
            <w:pPr>
              <w:spacing w:after="0"/>
            </w:pPr>
            <w:r>
              <w:rPr>
                <w:sz w:val="14"/>
              </w:rPr>
              <w:t>Notes &amp; Materials</w:t>
            </w:r>
          </w:p>
        </w:tc>
        <w:tc>
          <w:tcPr>
            <w:tcW w:type="dxa" w:w="8136"/>
            <w:vAlign w:val="top"/>
          </w:tcPr>
          <w:p>
            <w:pPr>
              <w:spacing w:after="0"/>
            </w:pPr>
            <w:r>
              <w:rPr>
                <w:sz w:val="14"/>
              </w:rPr>
              <w:t>View/manage institute materials; teachers may upload within scope.</w:t>
            </w:r>
          </w:p>
        </w:tc>
      </w:tr>
      <w:tr>
        <w:tc>
          <w:tcPr>
            <w:tcW w:type="dxa" w:w="2232"/>
            <w:vAlign w:val="top"/>
            <w:shd w:fill="F8FAFC"/>
          </w:tcPr>
          <w:p>
            <w:pPr>
              <w:spacing w:after="0"/>
            </w:pPr>
            <w:r>
              <w:rPr>
                <w:sz w:val="14"/>
              </w:rPr>
              <w:t>Exams</w:t>
            </w:r>
          </w:p>
        </w:tc>
        <w:tc>
          <w:tcPr>
            <w:tcW w:type="dxa" w:w="8136"/>
            <w:vAlign w:val="top"/>
            <w:shd w:fill="F8FAFC"/>
          </w:tcPr>
          <w:p>
            <w:pPr>
              <w:spacing w:after="0"/>
            </w:pPr>
            <w:r>
              <w:rPr>
                <w:sz w:val="14"/>
              </w:rPr>
              <w:t>Create/edit/cancel exams; teacher may enter marks; Admin controls final publication where configured.</w:t>
            </w:r>
          </w:p>
        </w:tc>
      </w:tr>
      <w:tr>
        <w:tc>
          <w:tcPr>
            <w:tcW w:type="dxa" w:w="2232"/>
            <w:vAlign w:val="top"/>
          </w:tcPr>
          <w:p>
            <w:pPr>
              <w:spacing w:after="0"/>
            </w:pPr>
            <w:r>
              <w:rPr>
                <w:sz w:val="14"/>
              </w:rPr>
              <w:t>Results</w:t>
            </w:r>
          </w:p>
        </w:tc>
        <w:tc>
          <w:tcPr>
            <w:tcW w:type="dxa" w:w="8136"/>
            <w:vAlign w:val="top"/>
          </w:tcPr>
          <w:p>
            <w:pPr>
              <w:spacing w:after="0"/>
            </w:pPr>
            <w:r>
              <w:rPr>
                <w:sz w:val="14"/>
              </w:rPr>
              <w:t>Review/publish/unpublish results; view performance and generate report cards.</w:t>
            </w:r>
          </w:p>
        </w:tc>
      </w:tr>
      <w:tr>
        <w:tc>
          <w:tcPr>
            <w:tcW w:type="dxa" w:w="2232"/>
            <w:vAlign w:val="top"/>
            <w:shd w:fill="F8FAFC"/>
          </w:tcPr>
          <w:p>
            <w:pPr>
              <w:spacing w:after="0"/>
            </w:pPr>
            <w:r>
              <w:rPr>
                <w:sz w:val="14"/>
              </w:rPr>
              <w:t>Announcements</w:t>
            </w:r>
          </w:p>
        </w:tc>
        <w:tc>
          <w:tcPr>
            <w:tcW w:type="dxa" w:w="8136"/>
            <w:vAlign w:val="top"/>
            <w:shd w:fill="F8FAFC"/>
          </w:tcPr>
          <w:p>
            <w:pPr>
              <w:spacing w:after="0"/>
            </w:pPr>
            <w:r>
              <w:rPr>
                <w:sz w:val="14"/>
              </w:rPr>
              <w:t>Send institute/class/batch/role announcements and trigger user notifications.</w:t>
            </w:r>
          </w:p>
        </w:tc>
      </w:tr>
      <w:tr>
        <w:tc>
          <w:tcPr>
            <w:tcW w:type="dxa" w:w="2232"/>
            <w:vAlign w:val="top"/>
          </w:tcPr>
          <w:p>
            <w:pPr>
              <w:spacing w:after="0"/>
            </w:pPr>
            <w:r>
              <w:rPr>
                <w:sz w:val="14"/>
              </w:rPr>
              <w:t>Settings</w:t>
            </w:r>
          </w:p>
        </w:tc>
        <w:tc>
          <w:tcPr>
            <w:tcW w:type="dxa" w:w="8136"/>
            <w:vAlign w:val="top"/>
          </w:tcPr>
          <w:p>
            <w:pPr>
              <w:spacing w:after="0"/>
            </w:pPr>
            <w:r>
              <w:rPr>
                <w:sz w:val="14"/>
              </w:rPr>
              <w:t>Institute details, academic settings, fee defaults, attendance/exam defaults, admin/security and data/export settings.</w:t>
            </w:r>
          </w:p>
        </w:tc>
      </w:tr>
    </w:tbl>
    <w:p>
      <w:pPr>
        <w:widowControl/>
        <w:spacing w:after="20"/>
      </w:pPr>
    </w:p>
    <w:p>
      <w:pPr>
        <w:widowControl/>
      </w:pPr>
      <w:r>
        <w:br w:type="page"/>
      </w:r>
    </w:p>
    <w:p>
      <w:pPr>
        <w:pStyle w:val="Heading1"/>
        <w:widowControl/>
      </w:pPr>
      <w:r>
        <w:t>11. Teacher Portal — Integrated Requirements</w:t>
      </w:r>
    </w:p>
    <w:tbl>
      <w:tblPr>
        <w:tblW w:type="auto" w:w="0"/>
        <w:jc w:val="center"/>
        <w:tblLook w:firstColumn="1" w:firstRow="1" w:lastColumn="0" w:lastRow="0" w:noHBand="0" w:noVBand="1" w:val="04A0"/>
      </w:tblPr>
      <w:tblGrid>
        <w:gridCol w:w="10282"/>
      </w:tblGrid>
      <w:tr>
        <w:tc>
          <w:tcPr>
            <w:tcW w:type="dxa" w:w="10282"/>
            <w:shd w:fill="EEF6FF"/>
            <w:vAlign w:val="center"/>
          </w:tcPr>
          <w:p>
            <w:pPr>
              <w:spacing w:after="40"/>
            </w:pPr>
            <w:r>
              <w:rPr>
                <w:b/>
                <w:color w:val="1677FF"/>
                <w:sz w:val="20"/>
              </w:rPr>
              <w:t>Detailed source</w:t>
            </w:r>
          </w:p>
          <w:p>
            <w:pPr>
              <w:pStyle w:val="SpecNote"/>
              <w:spacing w:after="80"/>
            </w:pPr>
            <w:r>
              <w:t>Use GrowthSathi_Class_System_Teacher_Portal_Specification.docx for exact teacher screens and restrictions.</w:t>
            </w:r>
          </w:p>
        </w:tc>
      </w:tr>
    </w:tbl>
    <w:p>
      <w:pPr>
        <w:widowControl/>
        <w:spacing w:after="0"/>
      </w:pPr>
    </w:p>
    <w:p>
      <w:pPr>
        <w:pStyle w:val="ListBullet"/>
        <w:widowControl/>
        <w:spacing w:after="26"/>
        <w:ind w:left="288"/>
      </w:pPr>
      <w:r>
        <w:t>Teacher works only with assigned batches and subjects.</w:t>
      </w:r>
    </w:p>
    <w:p>
      <w:pPr>
        <w:pStyle w:val="ListBullet"/>
        <w:widowControl/>
        <w:spacing w:after="26"/>
        <w:ind w:left="288"/>
      </w:pPr>
      <w:r>
        <w:t>Students are accessed through My Batches rather than a separate global Students directory.</w:t>
      </w:r>
    </w:p>
    <w:p>
      <w:pPr>
        <w:pStyle w:val="ListBullet"/>
        <w:widowControl/>
        <w:spacing w:after="26"/>
        <w:ind w:left="288"/>
      </w:pPr>
      <w:r>
        <w:t>Teacher timetable is read-only in V1; Admin is schedule authority.</w:t>
      </w:r>
    </w:p>
    <w:p>
      <w:pPr>
        <w:pStyle w:val="ListBullet"/>
        <w:widowControl/>
        <w:spacing w:after="26"/>
        <w:ind w:left="288"/>
      </w:pPr>
      <w:r>
        <w:t>Teacher takes attendance for assigned classes, uploads notes/materials, views relevant exams, enters marks and views scoped results.</w:t>
      </w:r>
    </w:p>
    <w:p>
      <w:pPr>
        <w:pStyle w:val="ListBullet"/>
        <w:widowControl/>
        <w:spacing w:after="26"/>
        <w:ind w:left="288"/>
      </w:pPr>
      <w:r>
        <w:t>Teacher may create announcements only for assigned batches unless Admin grants broader permission.</w:t>
      </w:r>
    </w:p>
    <w:p>
      <w:pPr>
        <w:pStyle w:val="ListBullet"/>
        <w:widowControl/>
        <w:spacing w:after="26"/>
        <w:ind w:left="288"/>
      </w:pPr>
      <w:r>
        <w:t>Teacher cannot access fees, parent management, institute settings, unrelated students/batches or private documents.</w:t>
      </w:r>
    </w:p>
    <w:p>
      <w:pPr>
        <w:pStyle w:val="Heading2"/>
        <w:widowControl/>
      </w:pPr>
      <w:r>
        <w:t>Teacher-to-system workflows</w:t>
      </w:r>
    </w:p>
    <w:tbl>
      <w:tblPr>
        <w:tblStyle w:val="TableGrid"/>
        <w:tblW w:type="auto" w:w="0"/>
        <w:jc w:val="center"/>
        <w:tblLook w:firstColumn="1" w:firstRow="1" w:lastColumn="0" w:lastRow="0" w:noHBand="0" w:noVBand="1" w:val="04A0"/>
      </w:tblPr>
      <w:tblGrid>
        <w:gridCol w:w="10282"/>
      </w:tblGrid>
      <w:tr>
        <w:tc>
          <w:tcPr>
            <w:tcW w:type="dxa" w:w="10282"/>
            <w:shd w:fill="F8FAFC"/>
          </w:tcPr>
          <w:p>
            <w:pPr>
              <w:pStyle w:val="Codeish"/>
              <w:spacing w:after="0"/>
            </w:pPr>
            <w:r/>
            <w:r>
              <w:t>Admin assigns Teacher -&gt; Batch + Subject</w:t>
            </w:r>
          </w:p>
          <w:p>
            <w:pPr>
              <w:pStyle w:val="Codeish"/>
              <w:spacing w:after="0"/>
            </w:pPr>
            <w:r>
              <w:t xml:space="preserve">    -&gt; Teacher sees batch/timetable</w:t>
            </w:r>
          </w:p>
          <w:p>
            <w:pPr>
              <w:pStyle w:val="Codeish"/>
              <w:spacing w:after="0"/>
            </w:pPr>
            <w:r>
              <w:t xml:space="preserve">    -&gt; Teacher marks attendance -&gt; Student/Parent/Admin views update</w:t>
            </w:r>
          </w:p>
          <w:p>
            <w:pPr>
              <w:pStyle w:val="Codeish"/>
              <w:spacing w:after="0"/>
            </w:pPr>
            <w:r>
              <w:t xml:space="preserve">    -&gt; Teacher uploads material -&gt; assigned Students can access it</w:t>
            </w:r>
          </w:p>
          <w:p>
            <w:pPr>
              <w:pStyle w:val="Codeish"/>
              <w:spacing w:after="0"/>
            </w:pPr>
            <w:r>
              <w:t xml:space="preserve">    -&gt; Admin creates Exam -&gt; Teacher enters marks -&gt; Admin publishes -&gt; Student/Parent see result</w:t>
            </w:r>
          </w:p>
        </w:tc>
      </w:tr>
    </w:tbl>
    <w:p>
      <w:pPr>
        <w:widowControl/>
        <w:spacing w:after="0"/>
      </w:pPr>
    </w:p>
    <w:p>
      <w:pPr>
        <w:widowControl/>
      </w:pPr>
      <w:r>
        <w:br w:type="page"/>
      </w:r>
    </w:p>
    <w:p>
      <w:pPr>
        <w:pStyle w:val="Heading1"/>
        <w:widowControl/>
      </w:pPr>
      <w:r>
        <w:t>12. Student &amp; Parent Portals — Integrated Requirements</w:t>
      </w:r>
    </w:p>
    <w:p>
      <w:pPr>
        <w:pStyle w:val="Heading2"/>
        <w:widowControl/>
      </w:pPr>
      <w:r>
        <w:t>Student Portal</w:t>
      </w:r>
    </w:p>
    <w:p>
      <w:pPr>
        <w:pStyle w:val="ListBullet"/>
        <w:widowControl/>
        <w:spacing w:after="26"/>
        <w:ind w:left="288"/>
      </w:pPr>
      <w:r>
        <w:t>Read-focused portal for the authenticated student.</w:t>
      </w:r>
    </w:p>
    <w:p>
      <w:pPr>
        <w:pStyle w:val="ListBullet"/>
        <w:widowControl/>
        <w:spacing w:after="26"/>
        <w:ind w:left="288"/>
      </w:pPr>
      <w:r>
        <w:t>Shows own/batch Timetable, Attendance, Fees, Notes &amp; Materials, Exams, published Results, Announcements and Profile.</w:t>
      </w:r>
    </w:p>
    <w:p>
      <w:pPr>
        <w:pStyle w:val="ListBullet"/>
        <w:widowControl/>
        <w:spacing w:after="26"/>
        <w:ind w:left="288"/>
      </w:pPr>
      <w:r>
        <w:t>Student cannot edit official attendance, fees, marks, batch, roll number or institute records.</w:t>
      </w:r>
    </w:p>
    <w:p>
      <w:pPr>
        <w:pStyle w:val="ListBullet"/>
        <w:widowControl/>
        <w:spacing w:after="26"/>
        <w:ind w:left="288"/>
      </w:pPr>
      <w:r>
        <w:t>Report cards/receipts can be downloaded where available.</w:t>
      </w:r>
    </w:p>
    <w:p>
      <w:pPr>
        <w:pStyle w:val="ListBullet"/>
        <w:widowControl/>
        <w:spacing w:after="26"/>
        <w:ind w:left="288"/>
      </w:pPr>
      <w:r>
        <w:t>Student content visibility follows current enrollment/batch and publication rules.</w:t>
      </w:r>
    </w:p>
    <w:p>
      <w:pPr>
        <w:pStyle w:val="Heading2"/>
        <w:widowControl/>
      </w:pPr>
      <w:r>
        <w:t>Parent Portal</w:t>
      </w:r>
    </w:p>
    <w:p>
      <w:pPr>
        <w:pStyle w:val="ListBullet"/>
        <w:widowControl/>
        <w:spacing w:after="26"/>
        <w:ind w:left="288"/>
      </w:pPr>
      <w:r>
        <w:t>Read-focused portal for linked child/children.</w:t>
      </w:r>
    </w:p>
    <w:p>
      <w:pPr>
        <w:pStyle w:val="ListBullet"/>
        <w:widowControl/>
        <w:spacing w:after="26"/>
        <w:ind w:left="288"/>
      </w:pPr>
      <w:r>
        <w:t>Final navigation: Dashboard, Attendance, Fees, Exams, Results, Announcements, Child Profile, My Profile.</w:t>
      </w:r>
    </w:p>
    <w:p>
      <w:pPr>
        <w:pStyle w:val="ListBullet"/>
        <w:widowControl/>
        <w:spacing w:after="26"/>
        <w:ind w:left="288"/>
      </w:pPr>
      <w:r>
        <w:t>Parent may switch between linked children; every page must operate in the selected-child context.</w:t>
      </w:r>
    </w:p>
    <w:p>
      <w:pPr>
        <w:pStyle w:val="ListBullet"/>
        <w:widowControl/>
        <w:spacing w:after="26"/>
        <w:ind w:left="288"/>
      </w:pPr>
      <w:r>
        <w:t>Parent cannot alter official attendance, fees, exams/results, class, batch or roll number.</w:t>
      </w:r>
    </w:p>
    <w:p>
      <w:pPr>
        <w:pStyle w:val="ListBullet"/>
        <w:widowControl/>
        <w:spacing w:after="26"/>
        <w:ind w:left="288"/>
      </w:pPr>
      <w:r>
        <w:t>Notes/Materials and Timetable are intentionally not main Parent modules in V1.</w:t>
      </w:r>
    </w:p>
    <w:p>
      <w:pPr>
        <w:pStyle w:val="Heading2"/>
        <w:widowControl/>
      </w:pPr>
      <w:r>
        <w:t>Shared parent/student rule</w:t>
      </w:r>
    </w:p>
    <w:tbl>
      <w:tblPr>
        <w:tblW w:type="auto" w:w="0"/>
        <w:jc w:val="center"/>
        <w:tblLook w:firstColumn="1" w:firstRow="1" w:lastColumn="0" w:lastRow="0" w:noHBand="0" w:noVBand="1" w:val="04A0"/>
      </w:tblPr>
      <w:tblGrid>
        <w:gridCol w:w="10282"/>
      </w:tblGrid>
      <w:tr>
        <w:tc>
          <w:tcPr>
            <w:tcW w:type="dxa" w:w="10282"/>
            <w:shd w:fill="FEE2E2"/>
            <w:vAlign w:val="center"/>
          </w:tcPr>
          <w:p>
            <w:pPr>
              <w:spacing w:after="40"/>
            </w:pPr>
            <w:r>
              <w:rPr>
                <w:b/>
                <w:color w:val="DC2626"/>
                <w:sz w:val="20"/>
              </w:rPr>
              <w:t>Publication and ownership</w:t>
            </w:r>
          </w:p>
          <w:p>
            <w:pPr>
              <w:pStyle w:val="SpecNote"/>
              <w:spacing w:after="80"/>
            </w:pPr>
            <w:r>
              <w:t>A student or parent must never see draft/unpublished results, materials not intended for that batch, another student’s data, or records from another institute.</w:t>
            </w:r>
          </w:p>
        </w:tc>
      </w:tr>
    </w:tbl>
    <w:p>
      <w:pPr>
        <w:widowControl/>
        <w:spacing w:after="0"/>
      </w:pPr>
    </w:p>
    <w:p>
      <w:pPr>
        <w:widowControl/>
      </w:pPr>
      <w:r>
        <w:br w:type="page"/>
      </w:r>
    </w:p>
    <w:p>
      <w:pPr>
        <w:pStyle w:val="Heading1"/>
        <w:widowControl/>
      </w:pPr>
      <w:r>
        <w:t>13. GrowthSathi Super Admin — Integrated Requirements</w:t>
      </w:r>
    </w:p>
    <w:p>
      <w:pPr>
        <w:pStyle w:val="ListBullet"/>
        <w:widowControl/>
        <w:spacing w:after="26"/>
        <w:ind w:left="288"/>
      </w:pPr>
      <w:r>
        <w:t>Create Institute: institute details, owner/contact, initial Admin, initial plan, initial subdomain/branding.</w:t>
      </w:r>
    </w:p>
    <w:p>
      <w:pPr>
        <w:pStyle w:val="ListBullet"/>
        <w:widowControl/>
        <w:spacing w:after="26"/>
        <w:ind w:left="288"/>
      </w:pPr>
      <w:r>
        <w:t>Manage Institute: view client details, user counts, plan/status, domain, branding and basic usage.</w:t>
      </w:r>
    </w:p>
    <w:p>
      <w:pPr>
        <w:pStyle w:val="ListBullet"/>
        <w:widowControl/>
        <w:spacing w:after="26"/>
        <w:ind w:left="288"/>
      </w:pPr>
      <w:r>
        <w:t>Activate/Deactivate Client: deactivation blocks all institute logins while preserving data.</w:t>
      </w:r>
    </w:p>
    <w:p>
      <w:pPr>
        <w:pStyle w:val="ListBullet"/>
        <w:widowControl/>
        <w:spacing w:after="26"/>
        <w:ind w:left="288"/>
      </w:pPr>
      <w:r>
        <w:t>Branding/Domain: logo, institute name, colors, favicon, GrowthSathi subdomain, optional custom domain and verification state.</w:t>
      </w:r>
    </w:p>
    <w:p>
      <w:pPr>
        <w:pStyle w:val="ListBullet"/>
        <w:widowControl/>
        <w:spacing w:after="26"/>
        <w:ind w:left="288"/>
      </w:pPr>
      <w:r>
        <w:t>Subscription/Plan: plan, billing cycle, start/renewal, status, student/storage limits and manually maintained payment status for V1.</w:t>
      </w:r>
    </w:p>
    <w:p>
      <w:pPr>
        <w:pStyle w:val="ListBullet"/>
        <w:widowControl/>
        <w:spacing w:after="26"/>
        <w:ind w:left="288"/>
      </w:pPr>
      <w:r>
        <w:t>Usage/Support Controls: counts/storage/activity, admin reset/enable/disable controls, basic support notes/status and operational logs.</w:t>
      </w:r>
    </w:p>
    <w:p>
      <w:pPr>
        <w:pStyle w:val="Heading2"/>
        <w:widowControl/>
      </w:pPr>
      <w:r>
        <w:t>Super Admin safety rules</w:t>
      </w:r>
    </w:p>
    <w:p>
      <w:pPr>
        <w:pStyle w:val="ListBullet"/>
        <w:widowControl/>
        <w:spacing w:after="26"/>
        <w:ind w:left="288"/>
      </w:pPr>
      <w:r>
        <w:t>Super Admin actions that change institute status, domain, plan or admin access must be audited.</w:t>
      </w:r>
    </w:p>
    <w:p>
      <w:pPr>
        <w:pStyle w:val="ListBullet"/>
        <w:widowControl/>
        <w:spacing w:after="26"/>
        <w:ind w:left="288"/>
      </w:pPr>
      <w:r>
        <w:t>Do not expose raw student academic/fee data as a normal Super Admin browsing feature.</w:t>
      </w:r>
    </w:p>
    <w:p>
      <w:pPr>
        <w:pStyle w:val="ListBullet"/>
        <w:widowControl/>
        <w:spacing w:after="26"/>
        <w:ind w:left="288"/>
      </w:pPr>
      <w:r>
        <w:t>Institute deactivation is reversible; do not delete client data as part of deactivation.</w:t>
      </w:r>
    </w:p>
    <w:p>
      <w:pPr>
        <w:pStyle w:val="ListBullet"/>
        <w:widowControl/>
        <w:spacing w:after="26"/>
        <w:ind w:left="288"/>
      </w:pPr>
      <w:r>
        <w:t>Domain changes require ownership/verification checks before activation.</w:t>
      </w:r>
    </w:p>
    <w:p>
      <w:pPr>
        <w:widowControl/>
      </w:pPr>
      <w:r>
        <w:br w:type="page"/>
      </w:r>
    </w:p>
    <w:p>
      <w:pPr>
        <w:pStyle w:val="Heading1"/>
        <w:widowControl/>
      </w:pPr>
      <w:r>
        <w:t>14. Announcements, Notifications &amp; Event Delivery</w:t>
      </w:r>
    </w:p>
    <w:tbl>
      <w:tblPr>
        <w:tblW w:type="auto" w:w="0"/>
        <w:jc w:val="center"/>
        <w:tblLook w:firstColumn="1" w:firstRow="1" w:lastColumn="0" w:lastRow="0" w:noHBand="0" w:noVBand="1" w:val="04A0"/>
      </w:tblPr>
      <w:tblGrid>
        <w:gridCol w:w="10282"/>
      </w:tblGrid>
      <w:tr>
        <w:tc>
          <w:tcPr>
            <w:tcW w:type="dxa" w:w="10282"/>
            <w:shd w:fill="EEF6FF"/>
            <w:vAlign w:val="center"/>
          </w:tcPr>
          <w:p>
            <w:pPr>
              <w:spacing w:after="40"/>
            </w:pPr>
            <w:r>
              <w:rPr>
                <w:b/>
                <w:color w:val="1677FF"/>
                <w:sz w:val="20"/>
              </w:rPr>
              <w:t>Product decision</w:t>
            </w:r>
          </w:p>
          <w:p>
            <w:pPr>
              <w:pStyle w:val="SpecNote"/>
              <w:spacing w:after="80"/>
            </w:pPr>
            <w:r>
              <w:t>Notifications are a system capability, not a standalone management module for institute users.</w:t>
            </w:r>
          </w:p>
        </w:tc>
      </w:tr>
    </w:tbl>
    <w:p>
      <w:pPr>
        <w:widowControl/>
        <w:spacing w:after="0"/>
      </w:pPr>
    </w:p>
    <w:p>
      <w:pPr>
        <w:pStyle w:val="Heading2"/>
        <w:widowControl/>
      </w:pPr>
      <w:r>
        <w:t>V1 notification events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2952"/>
            <w:shd w:fill="13253A"/>
          </w:tcPr>
          <w:p>
            <w:pPr>
              <w:spacing w:after="0"/>
            </w:pPr>
            <w:r>
              <w:rPr>
                <w:b/>
                <w:color w:val="FFFFFF"/>
                <w:sz w:val="15"/>
              </w:rPr>
              <w:t>Event</w:t>
            </w:r>
          </w:p>
        </w:tc>
        <w:tc>
          <w:tcPr>
            <w:tcW w:type="dxa" w:w="3600"/>
            <w:shd w:fill="13253A"/>
          </w:tcPr>
          <w:p>
            <w:pPr>
              <w:spacing w:after="0"/>
            </w:pPr>
            <w:r>
              <w:rPr>
                <w:b/>
                <w:color w:val="FFFFFF"/>
                <w:sz w:val="15"/>
              </w:rPr>
              <w:t>Typical recipients</w:t>
            </w:r>
          </w:p>
        </w:tc>
        <w:tc>
          <w:tcPr>
            <w:tcW w:type="dxa" w:w="3816"/>
            <w:shd w:fill="13253A"/>
          </w:tcPr>
          <w:p>
            <w:pPr>
              <w:spacing w:after="0"/>
            </w:pPr>
            <w:r>
              <w:rPr>
                <w:b/>
                <w:color w:val="FFFFFF"/>
                <w:sz w:val="15"/>
              </w:rPr>
              <w:t>Trigger owner</w:t>
            </w:r>
          </w:p>
        </w:tc>
      </w:tr>
      <w:tr>
        <w:tc>
          <w:tcPr>
            <w:tcW w:type="dxa" w:w="2952"/>
            <w:vAlign w:val="top"/>
          </w:tcPr>
          <w:p>
            <w:pPr>
              <w:spacing w:after="0"/>
            </w:pPr>
            <w:r>
              <w:rPr>
                <w:sz w:val="14"/>
              </w:rPr>
              <w:t>Announcement published</w:t>
            </w:r>
          </w:p>
        </w:tc>
        <w:tc>
          <w:tcPr>
            <w:tcW w:type="dxa" w:w="3600"/>
            <w:vAlign w:val="top"/>
          </w:tcPr>
          <w:p>
            <w:pPr>
              <w:spacing w:after="0"/>
            </w:pPr>
            <w:r>
              <w:rPr>
                <w:sz w:val="14"/>
              </w:rPr>
              <w:t>Selected audience / batch</w:t>
            </w:r>
          </w:p>
        </w:tc>
        <w:tc>
          <w:tcPr>
            <w:tcW w:type="dxa" w:w="3816"/>
            <w:vAlign w:val="top"/>
          </w:tcPr>
          <w:p>
            <w:pPr>
              <w:spacing w:after="0"/>
            </w:pPr>
            <w:r>
              <w:rPr>
                <w:sz w:val="14"/>
              </w:rPr>
              <w:t>Admin or authorized Teacher</w:t>
            </w:r>
          </w:p>
        </w:tc>
      </w:tr>
      <w:tr>
        <w:tc>
          <w:tcPr>
            <w:tcW w:type="dxa" w:w="2952"/>
            <w:vAlign w:val="top"/>
            <w:shd w:fill="F8FAFC"/>
          </w:tcPr>
          <w:p>
            <w:pPr>
              <w:spacing w:after="0"/>
            </w:pPr>
            <w:r>
              <w:rPr>
                <w:sz w:val="14"/>
              </w:rPr>
              <w:t>Student marked absent</w:t>
            </w:r>
          </w:p>
        </w:tc>
        <w:tc>
          <w:tcPr>
            <w:tcW w:type="dxa" w:w="3600"/>
            <w:vAlign w:val="top"/>
            <w:shd w:fill="F8FAFC"/>
          </w:tcPr>
          <w:p>
            <w:pPr>
              <w:spacing w:after="0"/>
            </w:pPr>
            <w:r>
              <w:rPr>
                <w:sz w:val="14"/>
              </w:rPr>
              <w:t>Student and/or linked Parent</w:t>
            </w:r>
          </w:p>
        </w:tc>
        <w:tc>
          <w:tcPr>
            <w:tcW w:type="dxa" w:w="3816"/>
            <w:vAlign w:val="top"/>
            <w:shd w:fill="F8FAFC"/>
          </w:tcPr>
          <w:p>
            <w:pPr>
              <w:spacing w:after="0"/>
            </w:pPr>
            <w:r>
              <w:rPr>
                <w:sz w:val="14"/>
              </w:rPr>
              <w:t>Attendance save</w:t>
            </w:r>
          </w:p>
        </w:tc>
      </w:tr>
      <w:tr>
        <w:tc>
          <w:tcPr>
            <w:tcW w:type="dxa" w:w="2952"/>
            <w:vAlign w:val="top"/>
          </w:tcPr>
          <w:p>
            <w:pPr>
              <w:spacing w:after="0"/>
            </w:pPr>
            <w:r>
              <w:rPr>
                <w:sz w:val="14"/>
              </w:rPr>
              <w:t>Fee reminder</w:t>
            </w:r>
          </w:p>
        </w:tc>
        <w:tc>
          <w:tcPr>
            <w:tcW w:type="dxa" w:w="3600"/>
            <w:vAlign w:val="top"/>
          </w:tcPr>
          <w:p>
            <w:pPr>
              <w:spacing w:after="0"/>
            </w:pPr>
            <w:r>
              <w:rPr>
                <w:sz w:val="14"/>
              </w:rPr>
              <w:t>Student and/or linked Parent</w:t>
            </w:r>
          </w:p>
        </w:tc>
        <w:tc>
          <w:tcPr>
            <w:tcW w:type="dxa" w:w="3816"/>
            <w:vAlign w:val="top"/>
          </w:tcPr>
          <w:p>
            <w:pPr>
              <w:spacing w:after="0"/>
            </w:pPr>
            <w:r>
              <w:rPr>
                <w:sz w:val="14"/>
              </w:rPr>
              <w:t>Admin from Fees</w:t>
            </w:r>
          </w:p>
        </w:tc>
      </w:tr>
      <w:tr>
        <w:tc>
          <w:tcPr>
            <w:tcW w:type="dxa" w:w="2952"/>
            <w:vAlign w:val="top"/>
            <w:shd w:fill="F8FAFC"/>
          </w:tcPr>
          <w:p>
            <w:pPr>
              <w:spacing w:after="0"/>
            </w:pPr>
            <w:r>
              <w:rPr>
                <w:sz w:val="14"/>
              </w:rPr>
              <w:t>Study material uploaded</w:t>
            </w:r>
          </w:p>
        </w:tc>
        <w:tc>
          <w:tcPr>
            <w:tcW w:type="dxa" w:w="3600"/>
            <w:vAlign w:val="top"/>
            <w:shd w:fill="F8FAFC"/>
          </w:tcPr>
          <w:p>
            <w:pPr>
              <w:spacing w:after="0"/>
            </w:pPr>
            <w:r>
              <w:rPr>
                <w:sz w:val="14"/>
              </w:rPr>
              <w:t>Selected students/batches</w:t>
            </w:r>
          </w:p>
        </w:tc>
        <w:tc>
          <w:tcPr>
            <w:tcW w:type="dxa" w:w="3816"/>
            <w:vAlign w:val="top"/>
            <w:shd w:fill="F8FAFC"/>
          </w:tcPr>
          <w:p>
            <w:pPr>
              <w:spacing w:after="0"/>
            </w:pPr>
            <w:r>
              <w:rPr>
                <w:sz w:val="14"/>
              </w:rPr>
              <w:t>Teacher/Admin</w:t>
            </w:r>
          </w:p>
        </w:tc>
      </w:tr>
      <w:tr>
        <w:tc>
          <w:tcPr>
            <w:tcW w:type="dxa" w:w="2952"/>
            <w:vAlign w:val="top"/>
          </w:tcPr>
          <w:p>
            <w:pPr>
              <w:spacing w:after="0"/>
            </w:pPr>
            <w:r>
              <w:rPr>
                <w:sz w:val="14"/>
              </w:rPr>
              <w:t>Exam created/changed</w:t>
            </w:r>
          </w:p>
        </w:tc>
        <w:tc>
          <w:tcPr>
            <w:tcW w:type="dxa" w:w="3600"/>
            <w:vAlign w:val="top"/>
          </w:tcPr>
          <w:p>
            <w:pPr>
              <w:spacing w:after="0"/>
            </w:pPr>
            <w:r>
              <w:rPr>
                <w:sz w:val="14"/>
              </w:rPr>
              <w:t>Affected students/teachers/parents as configured</w:t>
            </w:r>
          </w:p>
        </w:tc>
        <w:tc>
          <w:tcPr>
            <w:tcW w:type="dxa" w:w="3816"/>
            <w:vAlign w:val="top"/>
          </w:tcPr>
          <w:p>
            <w:pPr>
              <w:spacing w:after="0"/>
            </w:pPr>
            <w:r>
              <w:rPr>
                <w:sz w:val="14"/>
              </w:rPr>
              <w:t>Admin</w:t>
            </w:r>
          </w:p>
        </w:tc>
      </w:tr>
      <w:tr>
        <w:tc>
          <w:tcPr>
            <w:tcW w:type="dxa" w:w="2952"/>
            <w:vAlign w:val="top"/>
            <w:shd w:fill="F8FAFC"/>
          </w:tcPr>
          <w:p>
            <w:pPr>
              <w:spacing w:after="0"/>
            </w:pPr>
            <w:r>
              <w:rPr>
                <w:sz w:val="14"/>
              </w:rPr>
              <w:t>Result published</w:t>
            </w:r>
          </w:p>
        </w:tc>
        <w:tc>
          <w:tcPr>
            <w:tcW w:type="dxa" w:w="3600"/>
            <w:vAlign w:val="top"/>
            <w:shd w:fill="F8FAFC"/>
          </w:tcPr>
          <w:p>
            <w:pPr>
              <w:spacing w:after="0"/>
            </w:pPr>
            <w:r>
              <w:rPr>
                <w:sz w:val="14"/>
              </w:rPr>
              <w:t>Student and linked Parent</w:t>
            </w:r>
          </w:p>
        </w:tc>
        <w:tc>
          <w:tcPr>
            <w:tcW w:type="dxa" w:w="3816"/>
            <w:vAlign w:val="top"/>
            <w:shd w:fill="F8FAFC"/>
          </w:tcPr>
          <w:p>
            <w:pPr>
              <w:spacing w:after="0"/>
            </w:pPr>
            <w:r>
              <w:rPr>
                <w:sz w:val="14"/>
              </w:rPr>
              <w:t>Admin publication</w:t>
            </w:r>
          </w:p>
        </w:tc>
      </w:tr>
      <w:tr>
        <w:tc>
          <w:tcPr>
            <w:tcW w:type="dxa" w:w="2952"/>
            <w:vAlign w:val="top"/>
          </w:tcPr>
          <w:p>
            <w:pPr>
              <w:spacing w:after="0"/>
            </w:pPr>
            <w:r>
              <w:rPr>
                <w:sz w:val="14"/>
              </w:rPr>
              <w:t>Timetable changed</w:t>
            </w:r>
          </w:p>
        </w:tc>
        <w:tc>
          <w:tcPr>
            <w:tcW w:type="dxa" w:w="3600"/>
            <w:vAlign w:val="top"/>
          </w:tcPr>
          <w:p>
            <w:pPr>
              <w:spacing w:after="0"/>
            </w:pPr>
            <w:r>
              <w:rPr>
                <w:sz w:val="14"/>
              </w:rPr>
              <w:t>Affected batch and teacher</w:t>
            </w:r>
          </w:p>
        </w:tc>
        <w:tc>
          <w:tcPr>
            <w:tcW w:type="dxa" w:w="3816"/>
            <w:vAlign w:val="top"/>
          </w:tcPr>
          <w:p>
            <w:pPr>
              <w:spacing w:after="0"/>
            </w:pPr>
            <w:r>
              <w:rPr>
                <w:sz w:val="14"/>
              </w:rPr>
              <w:t>Admin</w:t>
            </w:r>
          </w:p>
        </w:tc>
      </w:tr>
    </w:tbl>
    <w:p>
      <w:pPr>
        <w:widowControl/>
        <w:spacing w:after="20"/>
      </w:pPr>
    </w:p>
    <w:p>
      <w:pPr>
        <w:pStyle w:val="Heading2"/>
        <w:widowControl/>
      </w:pPr>
      <w:r>
        <w:t>Channels</w:t>
      </w:r>
    </w:p>
    <w:p>
      <w:pPr>
        <w:pStyle w:val="ListBullet"/>
        <w:widowControl/>
        <w:spacing w:after="26"/>
        <w:ind w:left="288"/>
      </w:pPr>
      <w:r>
        <w:t>In-app notification bell/feed: V1 required.</w:t>
      </w:r>
    </w:p>
    <w:p>
      <w:pPr>
        <w:pStyle w:val="ListBullet"/>
        <w:widowControl/>
        <w:spacing w:after="26"/>
        <w:ind w:left="288"/>
      </w:pPr>
      <w:r>
        <w:t>Browser/PWA push: support when user grants permission and platform/browser allows it.</w:t>
      </w:r>
    </w:p>
    <w:p>
      <w:pPr>
        <w:pStyle w:val="ListBullet"/>
        <w:widowControl/>
        <w:spacing w:after="26"/>
        <w:ind w:left="288"/>
      </w:pPr>
      <w:r>
        <w:t>Email: optional delivery channel for activation/reset and selected system notifications.</w:t>
      </w:r>
    </w:p>
    <w:p>
      <w:pPr>
        <w:pStyle w:val="ListBullet"/>
        <w:widowControl/>
        <w:spacing w:after="26"/>
        <w:ind w:left="288"/>
      </w:pPr>
      <w:r>
        <w:t>WhatsApp/SMS: future/integration option; not required to complete V1 core product.</w:t>
      </w:r>
    </w:p>
    <w:p>
      <w:pPr>
        <w:pStyle w:val="Heading2"/>
        <w:widowControl/>
      </w:pPr>
      <w:r>
        <w:t>Delivery rules</w:t>
      </w:r>
    </w:p>
    <w:p>
      <w:pPr>
        <w:pStyle w:val="ListBullet"/>
        <w:widowControl/>
        <w:spacing w:after="26"/>
        <w:ind w:left="288"/>
      </w:pPr>
      <w:r>
        <w:t>Creating an event and delivering it are separate concerns; business action must not fail just because push delivery fails.</w:t>
      </w:r>
    </w:p>
    <w:p>
      <w:pPr>
        <w:pStyle w:val="ListBullet"/>
        <w:widowControl/>
        <w:spacing w:after="26"/>
        <w:ind w:left="288"/>
      </w:pPr>
      <w:r>
        <w:t>Persist enough notification metadata to show recent in-app alerts and delivery status where operationally useful.</w:t>
      </w:r>
    </w:p>
    <w:p>
      <w:pPr>
        <w:pStyle w:val="ListBullet"/>
        <w:widowControl/>
        <w:spacing w:after="26"/>
        <w:ind w:left="288"/>
      </w:pPr>
      <w:r>
        <w:t>Audience resolution must use institute/batch/role/parent-child scopes at event creation time.</w:t>
      </w:r>
    </w:p>
    <w:p>
      <w:pPr>
        <w:widowControl/>
      </w:pPr>
      <w:r>
        <w:br w:type="page"/>
      </w:r>
    </w:p>
    <w:p>
      <w:pPr>
        <w:pStyle w:val="Heading1"/>
        <w:widowControl/>
      </w:pPr>
      <w:r>
        <w:t>15. Fees &amp; Payments — Functional Integrity</w:t>
      </w:r>
    </w:p>
    <w:p>
      <w:pPr>
        <w:pStyle w:val="ListBullet"/>
        <w:widowControl/>
        <w:spacing w:after="26"/>
        <w:ind w:left="288"/>
      </w:pPr>
      <w:r>
        <w:t>V1 must support fee plan/total amount, installments, due dates, discounts if configured, manual payment recording and receipts.</w:t>
      </w:r>
    </w:p>
    <w:p>
      <w:pPr>
        <w:pStyle w:val="ListBullet"/>
        <w:widowControl/>
        <w:spacing w:after="26"/>
        <w:ind w:left="288"/>
      </w:pPr>
      <w:r>
        <w:t>Payment modes may include Cash, UPI, Bank Transfer and Card/Online label when enabled.</w:t>
      </w:r>
    </w:p>
    <w:p>
      <w:pPr>
        <w:pStyle w:val="ListBullet"/>
        <w:widowControl/>
        <w:spacing w:after="26"/>
        <w:ind w:left="288"/>
      </w:pPr>
      <w:r>
        <w:t>V1 does not require a live payment gateway to ship. Online payment can be added behind a provider abstraction later.</w:t>
      </w:r>
    </w:p>
    <w:p>
      <w:pPr>
        <w:pStyle w:val="ListBullet"/>
        <w:widowControl/>
        <w:spacing w:after="26"/>
        <w:ind w:left="288"/>
      </w:pPr>
      <w:r>
        <w:t>Pending amount should be calculated consistently from agreed fee plan/discount/paid transactions rather than independently edited totals.</w:t>
      </w:r>
    </w:p>
    <w:p>
      <w:pPr>
        <w:pStyle w:val="ListBullet"/>
        <w:widowControl/>
        <w:spacing w:after="26"/>
        <w:ind w:left="288"/>
      </w:pPr>
      <w:r>
        <w:t>A payment record should not be silently overwritten. Corrections should use explicit edit/reversal rules and audit logs.</w:t>
      </w:r>
    </w:p>
    <w:p>
      <w:pPr>
        <w:pStyle w:val="ListBullet"/>
        <w:widowControl/>
        <w:spacing w:after="26"/>
        <w:ind w:left="288"/>
      </w:pPr>
      <w:r>
        <w:t>Receipts must reference institute, student, payment amount/date/mode and a unique receipt identifier.</w:t>
      </w:r>
    </w:p>
    <w:p>
      <w:pPr>
        <w:pStyle w:val="ListBullet"/>
        <w:widowControl/>
        <w:spacing w:after="26"/>
        <w:ind w:left="288"/>
      </w:pPr>
      <w:r>
        <w:t>Students and parents can view their own fee status/history and download receipts; they cannot alter fee data.</w:t>
      </w:r>
    </w:p>
    <w:p>
      <w:pPr>
        <w:pStyle w:val="ListBullet"/>
        <w:widowControl/>
        <w:spacing w:after="26"/>
        <w:ind w:left="288"/>
      </w:pPr>
      <w:r>
        <w:t>Teachers have no fee access.</w:t>
      </w:r>
    </w:p>
    <w:p>
      <w:pPr>
        <w:pStyle w:val="Heading2"/>
        <w:widowControl/>
      </w:pPr>
      <w:r>
        <w:t>Suggested payment state model</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304"/>
            <w:shd w:fill="13253A"/>
          </w:tcPr>
          <w:p>
            <w:pPr>
              <w:spacing w:after="0"/>
            </w:pPr>
            <w:r>
              <w:rPr>
                <w:b/>
                <w:color w:val="FFFFFF"/>
                <w:sz w:val="15"/>
              </w:rPr>
              <w:t>State</w:t>
            </w:r>
          </w:p>
        </w:tc>
        <w:tc>
          <w:tcPr>
            <w:tcW w:type="dxa" w:w="8064"/>
            <w:shd w:fill="13253A"/>
          </w:tcPr>
          <w:p>
            <w:pPr>
              <w:spacing w:after="0"/>
            </w:pPr>
            <w:r>
              <w:rPr>
                <w:b/>
                <w:color w:val="FFFFFF"/>
                <w:sz w:val="15"/>
              </w:rPr>
              <w:t>Meaning</w:t>
            </w:r>
          </w:p>
        </w:tc>
      </w:tr>
      <w:tr>
        <w:tc>
          <w:tcPr>
            <w:tcW w:type="dxa" w:w="2304"/>
            <w:vAlign w:val="top"/>
          </w:tcPr>
          <w:p>
            <w:pPr>
              <w:spacing w:after="0"/>
            </w:pPr>
            <w:r>
              <w:rPr>
                <w:sz w:val="15"/>
              </w:rPr>
              <w:t>PENDING</w:t>
            </w:r>
          </w:p>
        </w:tc>
        <w:tc>
          <w:tcPr>
            <w:tcW w:type="dxa" w:w="8064"/>
            <w:vAlign w:val="top"/>
          </w:tcPr>
          <w:p>
            <w:pPr>
              <w:spacing w:after="0"/>
            </w:pPr>
            <w:r>
              <w:rPr>
                <w:sz w:val="15"/>
              </w:rPr>
              <w:t>Amount/installment not yet fully paid</w:t>
            </w:r>
          </w:p>
        </w:tc>
      </w:tr>
      <w:tr>
        <w:tc>
          <w:tcPr>
            <w:tcW w:type="dxa" w:w="2304"/>
            <w:vAlign w:val="top"/>
            <w:shd w:fill="F8FAFC"/>
          </w:tcPr>
          <w:p>
            <w:pPr>
              <w:spacing w:after="0"/>
            </w:pPr>
            <w:r>
              <w:rPr>
                <w:sz w:val="15"/>
              </w:rPr>
              <w:t>PAID</w:t>
            </w:r>
          </w:p>
        </w:tc>
        <w:tc>
          <w:tcPr>
            <w:tcW w:type="dxa" w:w="8064"/>
            <w:vAlign w:val="top"/>
            <w:shd w:fill="F8FAFC"/>
          </w:tcPr>
          <w:p>
            <w:pPr>
              <w:spacing w:after="0"/>
            </w:pPr>
            <w:r>
              <w:rPr>
                <w:sz w:val="15"/>
              </w:rPr>
              <w:t>Installment/account obligation fully paid</w:t>
            </w:r>
          </w:p>
        </w:tc>
      </w:tr>
      <w:tr>
        <w:tc>
          <w:tcPr>
            <w:tcW w:type="dxa" w:w="2304"/>
            <w:vAlign w:val="top"/>
          </w:tcPr>
          <w:p>
            <w:pPr>
              <w:spacing w:after="0"/>
            </w:pPr>
            <w:r>
              <w:rPr>
                <w:sz w:val="15"/>
              </w:rPr>
              <w:t>OVERDUE</w:t>
            </w:r>
          </w:p>
        </w:tc>
        <w:tc>
          <w:tcPr>
            <w:tcW w:type="dxa" w:w="8064"/>
            <w:vAlign w:val="top"/>
          </w:tcPr>
          <w:p>
            <w:pPr>
              <w:spacing w:after="0"/>
            </w:pPr>
            <w:r>
              <w:rPr>
                <w:sz w:val="15"/>
              </w:rPr>
              <w:t>Due date passed with outstanding amount</w:t>
            </w:r>
          </w:p>
        </w:tc>
      </w:tr>
      <w:tr>
        <w:tc>
          <w:tcPr>
            <w:tcW w:type="dxa" w:w="2304"/>
            <w:vAlign w:val="top"/>
            <w:shd w:fill="F8FAFC"/>
          </w:tcPr>
          <w:p>
            <w:pPr>
              <w:spacing w:after="0"/>
            </w:pPr>
            <w:r>
              <w:rPr>
                <w:sz w:val="15"/>
              </w:rPr>
              <w:t>PARTIAL</w:t>
            </w:r>
          </w:p>
        </w:tc>
        <w:tc>
          <w:tcPr>
            <w:tcW w:type="dxa" w:w="8064"/>
            <w:vAlign w:val="top"/>
            <w:shd w:fill="F8FAFC"/>
          </w:tcPr>
          <w:p>
            <w:pPr>
              <w:spacing w:after="0"/>
            </w:pPr>
            <w:r>
              <w:rPr>
                <w:sz w:val="15"/>
              </w:rPr>
              <w:t>Optional state when an installment accepts partial payment</w:t>
            </w:r>
          </w:p>
        </w:tc>
      </w:tr>
    </w:tbl>
    <w:p>
      <w:pPr>
        <w:widowControl/>
        <w:spacing w:after="20"/>
      </w:pPr>
    </w:p>
    <w:p>
      <w:pPr>
        <w:widowControl/>
      </w:pPr>
      <w:r>
        <w:br w:type="page"/>
      </w:r>
    </w:p>
    <w:p>
      <w:pPr>
        <w:pStyle w:val="Heading1"/>
        <w:widowControl/>
      </w:pPr>
      <w:r>
        <w:t>16. Exams, Marks &amp; Results — Functional Integrity</w:t>
      </w:r>
    </w:p>
    <w:p>
      <w:pPr>
        <w:pStyle w:val="ListBullet"/>
        <w:widowControl/>
        <w:spacing w:after="26"/>
        <w:ind w:left="288"/>
      </w:pPr>
      <w:r>
        <w:t>Admin creates the official exam and controls schedule, total marks, passing marks and status.</w:t>
      </w:r>
    </w:p>
    <w:p>
      <w:pPr>
        <w:pStyle w:val="ListBullet"/>
        <w:widowControl/>
        <w:spacing w:after="26"/>
        <w:ind w:left="288"/>
      </w:pPr>
      <w:r>
        <w:t>Teacher may enter marks only for an assigned batch/subject exam.</w:t>
      </w:r>
    </w:p>
    <w:p>
      <w:pPr>
        <w:pStyle w:val="ListBullet"/>
        <w:widowControl/>
        <w:spacing w:after="26"/>
        <w:ind w:left="288"/>
      </w:pPr>
      <w:r>
        <w:t>Marks validation: non-negative, not greater than total marks, absent status handled explicitly.</w:t>
      </w:r>
    </w:p>
    <w:p>
      <w:pPr>
        <w:pStyle w:val="ListBullet"/>
        <w:widowControl/>
        <w:spacing w:after="26"/>
        <w:ind w:left="288"/>
      </w:pPr>
      <w:r>
        <w:t>Results remain hidden from Student/Parent until published.</w:t>
      </w:r>
    </w:p>
    <w:p>
      <w:pPr>
        <w:pStyle w:val="ListBullet"/>
        <w:widowControl/>
        <w:spacing w:after="26"/>
        <w:ind w:left="288"/>
      </w:pPr>
      <w:r>
        <w:t>Admin can review before publish and may unpublish/correct according to audited rules.</w:t>
      </w:r>
    </w:p>
    <w:p>
      <w:pPr>
        <w:pStyle w:val="ListBullet"/>
        <w:widowControl/>
        <w:spacing w:after="26"/>
        <w:ind w:left="288"/>
      </w:pPr>
      <w:r>
        <w:t>Percentage/pass/grade calculations must use one central calculation service to avoid portal inconsistencies.</w:t>
      </w:r>
    </w:p>
    <w:p>
      <w:pPr>
        <w:pStyle w:val="ListBullet"/>
        <w:widowControl/>
        <w:spacing w:after="26"/>
        <w:ind w:left="288"/>
      </w:pPr>
      <w:r>
        <w:t>Student sees own published result only; Parent sees linked child published result only; Teacher sees scoped batch/subject results.</w:t>
      </w:r>
    </w:p>
    <w:p>
      <w:pPr>
        <w:pStyle w:val="ListBullet"/>
        <w:widowControl/>
        <w:spacing w:after="26"/>
        <w:ind w:left="288"/>
      </w:pPr>
      <w:r>
        <w:t>Report card generation may use server-side HTML-to-PDF or equivalent, but generated output must use institute branding.</w:t>
      </w:r>
    </w:p>
    <w:p>
      <w:pPr>
        <w:pStyle w:val="Heading2"/>
        <w:widowControl/>
      </w:pPr>
      <w:r>
        <w:t>Required result calculations</w:t>
      </w:r>
    </w:p>
    <w:p>
      <w:pPr>
        <w:pStyle w:val="ListBullet"/>
        <w:widowControl/>
        <w:spacing w:after="26"/>
        <w:ind w:left="288"/>
      </w:pPr>
      <w:r>
        <w:t>Marks obtained / total marks</w:t>
      </w:r>
    </w:p>
    <w:p>
      <w:pPr>
        <w:pStyle w:val="ListBullet"/>
        <w:widowControl/>
        <w:spacing w:after="26"/>
        <w:ind w:left="288"/>
      </w:pPr>
      <w:r>
        <w:t>Percentage</w:t>
      </w:r>
    </w:p>
    <w:p>
      <w:pPr>
        <w:pStyle w:val="ListBullet"/>
        <w:widowControl/>
        <w:spacing w:after="26"/>
        <w:ind w:left="288"/>
      </w:pPr>
      <w:r>
        <w:t>Pass/fail based on configured passing rule</w:t>
      </w:r>
    </w:p>
    <w:p>
      <w:pPr>
        <w:pStyle w:val="ListBullet"/>
        <w:widowControl/>
        <w:spacing w:after="26"/>
        <w:ind w:left="288"/>
      </w:pPr>
      <w:r>
        <w:t>Subject-wise marks for multi-subject result cards if applicable</w:t>
      </w:r>
    </w:p>
    <w:p>
      <w:pPr>
        <w:pStyle w:val="ListBullet"/>
        <w:widowControl/>
        <w:spacing w:after="26"/>
        <w:ind w:left="288"/>
      </w:pPr>
      <w:r>
        <w:t>Batch/exam average and pass percentage for Admin/Teacher analytics</w:t>
      </w:r>
    </w:p>
    <w:p>
      <w:pPr>
        <w:pStyle w:val="ListBullet"/>
        <w:widowControl/>
        <w:spacing w:after="26"/>
        <w:ind w:left="288"/>
      </w:pPr>
      <w:r>
        <w:t>Rank only if explicitly enabled by institute settings</w:t>
      </w:r>
    </w:p>
    <w:p>
      <w:pPr>
        <w:widowControl/>
      </w:pPr>
      <w:r>
        <w:br w:type="page"/>
      </w:r>
    </w:p>
    <w:p>
      <w:pPr>
        <w:pStyle w:val="Heading1"/>
        <w:widowControl/>
      </w:pPr>
      <w:r>
        <w:t>17. Files, Documents &amp; Generated Outputs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520"/>
            <w:shd w:fill="13253A"/>
          </w:tcPr>
          <w:p>
            <w:pPr>
              <w:spacing w:after="0"/>
            </w:pPr>
            <w:r>
              <w:rPr>
                <w:b/>
                <w:color w:val="FFFFFF"/>
                <w:sz w:val="15"/>
              </w:rPr>
              <w:t>File type</w:t>
            </w:r>
          </w:p>
        </w:tc>
        <w:tc>
          <w:tcPr>
            <w:tcW w:type="dxa" w:w="7848"/>
            <w:shd w:fill="13253A"/>
          </w:tcPr>
          <w:p>
            <w:pPr>
              <w:spacing w:after="0"/>
            </w:pPr>
            <w:r>
              <w:rPr>
                <w:b/>
                <w:color w:val="FFFFFF"/>
                <w:sz w:val="15"/>
              </w:rPr>
              <w:t>Visibility / handling</w:t>
            </w:r>
          </w:p>
        </w:tc>
      </w:tr>
      <w:tr>
        <w:tc>
          <w:tcPr>
            <w:tcW w:type="dxa" w:w="2520"/>
            <w:vAlign w:val="top"/>
          </w:tcPr>
          <w:p>
            <w:pPr>
              <w:spacing w:after="0"/>
            </w:pPr>
            <w:r>
              <w:rPr>
                <w:sz w:val="14"/>
              </w:rPr>
              <w:t>Institute logo/favicon</w:t>
            </w:r>
          </w:p>
        </w:tc>
        <w:tc>
          <w:tcPr>
            <w:tcW w:type="dxa" w:w="7848"/>
            <w:vAlign w:val="top"/>
          </w:tcPr>
          <w:p>
            <w:pPr>
              <w:spacing w:after="0"/>
            </w:pPr>
            <w:r>
              <w:rPr>
                <w:sz w:val="14"/>
              </w:rPr>
              <w:t>Publicly displayable after institute/domain resolution</w:t>
            </w:r>
          </w:p>
        </w:tc>
      </w:tr>
      <w:tr>
        <w:tc>
          <w:tcPr>
            <w:tcW w:type="dxa" w:w="2520"/>
            <w:vAlign w:val="top"/>
            <w:shd w:fill="F8FAFC"/>
          </w:tcPr>
          <w:p>
            <w:pPr>
              <w:spacing w:after="0"/>
            </w:pPr>
            <w:r>
              <w:rPr>
                <w:sz w:val="14"/>
              </w:rPr>
              <w:t>Profile photo</w:t>
            </w:r>
          </w:p>
        </w:tc>
        <w:tc>
          <w:tcPr>
            <w:tcW w:type="dxa" w:w="7848"/>
            <w:vAlign w:val="top"/>
            <w:shd w:fill="F8FAFC"/>
          </w:tcPr>
          <w:p>
            <w:pPr>
              <w:spacing w:after="0"/>
            </w:pPr>
            <w:r>
              <w:rPr>
                <w:sz w:val="14"/>
              </w:rPr>
              <w:t>Authenticated/private or safe public media URL depending implementation</w:t>
            </w:r>
          </w:p>
        </w:tc>
      </w:tr>
      <w:tr>
        <w:tc>
          <w:tcPr>
            <w:tcW w:type="dxa" w:w="2520"/>
            <w:vAlign w:val="top"/>
          </w:tcPr>
          <w:p>
            <w:pPr>
              <w:spacing w:after="0"/>
            </w:pPr>
            <w:r>
              <w:rPr>
                <w:sz w:val="14"/>
              </w:rPr>
              <w:t>Study materials</w:t>
            </w:r>
          </w:p>
        </w:tc>
        <w:tc>
          <w:tcPr>
            <w:tcW w:type="dxa" w:w="7848"/>
            <w:vAlign w:val="top"/>
          </w:tcPr>
          <w:p>
            <w:pPr>
              <w:spacing w:after="0"/>
            </w:pPr>
            <w:r>
              <w:rPr>
                <w:sz w:val="14"/>
              </w:rPr>
              <w:t>Access-controlled by institute + batch/role; use signed/private URLs if storage is private</w:t>
            </w:r>
          </w:p>
        </w:tc>
      </w:tr>
      <w:tr>
        <w:tc>
          <w:tcPr>
            <w:tcW w:type="dxa" w:w="2520"/>
            <w:vAlign w:val="top"/>
            <w:shd w:fill="F8FAFC"/>
          </w:tcPr>
          <w:p>
            <w:pPr>
              <w:spacing w:after="0"/>
            </w:pPr>
            <w:r>
              <w:rPr>
                <w:sz w:val="14"/>
              </w:rPr>
              <w:t>Student documents</w:t>
            </w:r>
          </w:p>
        </w:tc>
        <w:tc>
          <w:tcPr>
            <w:tcW w:type="dxa" w:w="7848"/>
            <w:vAlign w:val="top"/>
            <w:shd w:fill="F8FAFC"/>
          </w:tcPr>
          <w:p>
            <w:pPr>
              <w:spacing w:after="0"/>
            </w:pPr>
            <w:r>
              <w:rPr>
                <w:sz w:val="14"/>
              </w:rPr>
              <w:t>Admin-only within Student Profile in V1; never exposed to Teacher/Parent/Student unless explicitly defined later</w:t>
            </w:r>
          </w:p>
        </w:tc>
      </w:tr>
      <w:tr>
        <w:tc>
          <w:tcPr>
            <w:tcW w:type="dxa" w:w="2520"/>
            <w:vAlign w:val="top"/>
          </w:tcPr>
          <w:p>
            <w:pPr>
              <w:spacing w:after="0"/>
            </w:pPr>
            <w:r>
              <w:rPr>
                <w:sz w:val="14"/>
              </w:rPr>
              <w:t>Receipts</w:t>
            </w:r>
          </w:p>
        </w:tc>
        <w:tc>
          <w:tcPr>
            <w:tcW w:type="dxa" w:w="7848"/>
            <w:vAlign w:val="top"/>
          </w:tcPr>
          <w:p>
            <w:pPr>
              <w:spacing w:after="0"/>
            </w:pPr>
            <w:r>
              <w:rPr>
                <w:sz w:val="14"/>
              </w:rPr>
              <w:t>Student/Parent/Admin for owning student; generated or stored with tenant ownership</w:t>
            </w:r>
          </w:p>
        </w:tc>
      </w:tr>
      <w:tr>
        <w:tc>
          <w:tcPr>
            <w:tcW w:type="dxa" w:w="2520"/>
            <w:vAlign w:val="top"/>
            <w:shd w:fill="F8FAFC"/>
          </w:tcPr>
          <w:p>
            <w:pPr>
              <w:spacing w:after="0"/>
            </w:pPr>
            <w:r>
              <w:rPr>
                <w:sz w:val="14"/>
              </w:rPr>
              <w:t>Report cards</w:t>
            </w:r>
          </w:p>
        </w:tc>
        <w:tc>
          <w:tcPr>
            <w:tcW w:type="dxa" w:w="7848"/>
            <w:vAlign w:val="top"/>
            <w:shd w:fill="F8FAFC"/>
          </w:tcPr>
          <w:p>
            <w:pPr>
              <w:spacing w:after="0"/>
            </w:pPr>
            <w:r>
              <w:rPr>
                <w:sz w:val="14"/>
              </w:rPr>
              <w:t>Student/Parent/Admin and scoped Teacher where permitted; generated with institute branding</w:t>
            </w:r>
          </w:p>
        </w:tc>
      </w:tr>
    </w:tbl>
    <w:p>
      <w:pPr>
        <w:widowControl/>
        <w:spacing w:after="20"/>
      </w:pPr>
    </w:p>
    <w:p>
      <w:pPr>
        <w:pStyle w:val="Heading2"/>
        <w:widowControl/>
      </w:pPr>
      <w:r>
        <w:t>Upload rules</w:t>
      </w:r>
    </w:p>
    <w:p>
      <w:pPr>
        <w:pStyle w:val="ListBullet"/>
        <w:widowControl/>
        <w:spacing w:after="26"/>
        <w:ind w:left="288"/>
      </w:pPr>
      <w:r>
        <w:t>Validate file type, extension and size server-side.</w:t>
      </w:r>
    </w:p>
    <w:p>
      <w:pPr>
        <w:pStyle w:val="ListBullet"/>
        <w:widowControl/>
        <w:spacing w:after="26"/>
        <w:ind w:left="288"/>
      </w:pPr>
      <w:r>
        <w:t>Generate safe storage keys; do not trust original filenames as paths.</w:t>
      </w:r>
    </w:p>
    <w:p>
      <w:pPr>
        <w:pStyle w:val="ListBullet"/>
        <w:widowControl/>
        <w:spacing w:after="26"/>
        <w:ind w:left="288"/>
      </w:pPr>
      <w:r>
        <w:t>Never allow a user to request another institute’s object by changing a storage key/URL.</w:t>
      </w:r>
    </w:p>
    <w:p>
      <w:pPr>
        <w:pStyle w:val="ListBullet"/>
        <w:widowControl/>
        <w:spacing w:after="26"/>
        <w:ind w:left="288"/>
      </w:pPr>
      <w:r>
        <w:t>Malware scanning can be added later; at minimum reject executable/high-risk file types in V1.</w:t>
      </w:r>
    </w:p>
    <w:p>
      <w:pPr>
        <w:pStyle w:val="ListBullet"/>
        <w:widowControl/>
        <w:spacing w:after="26"/>
        <w:ind w:left="288"/>
      </w:pPr>
      <w:r>
        <w:t>Delete/replace behavior should not break historical references silently.</w:t>
      </w:r>
    </w:p>
    <w:p>
      <w:pPr>
        <w:widowControl/>
      </w:pPr>
      <w:r>
        <w:br w:type="page"/>
      </w:r>
    </w:p>
    <w:p>
      <w:pPr>
        <w:pStyle w:val="Heading1"/>
        <w:widowControl/>
      </w:pPr>
      <w:r>
        <w:t>18. API Organization &amp; Service Boundaries</w:t>
      </w:r>
    </w:p>
    <w:tbl>
      <w:tblPr>
        <w:tblW w:type="auto" w:w="0"/>
        <w:jc w:val="center"/>
        <w:tblLook w:firstColumn="1" w:firstRow="1" w:lastColumn="0" w:lastRow="0" w:noHBand="0" w:noVBand="1" w:val="04A0"/>
      </w:tblPr>
      <w:tblGrid>
        <w:gridCol w:w="10282"/>
      </w:tblGrid>
      <w:tr>
        <w:tc>
          <w:tcPr>
            <w:tcW w:type="dxa" w:w="10282"/>
            <w:shd w:fill="F1F5F9"/>
            <w:vAlign w:val="center"/>
          </w:tcPr>
          <w:p>
            <w:pPr>
              <w:spacing w:after="40"/>
            </w:pPr>
            <w:r>
              <w:rPr>
                <w:b/>
                <w:color w:val="13253A"/>
                <w:sz w:val="20"/>
              </w:rPr>
              <w:t>API principle</w:t>
            </w:r>
          </w:p>
          <w:p>
            <w:pPr>
              <w:pStyle w:val="SpecNote"/>
              <w:spacing w:after="80"/>
            </w:pPr>
            <w:r>
              <w:t>Prefer resource-oriented APIs plus role-specific dashboard/aggregate endpoints. Do not duplicate the same core business operation separately in four portal implementations.</w:t>
            </w:r>
          </w:p>
        </w:tc>
      </w:tr>
    </w:tbl>
    <w:p>
      <w:pPr>
        <w:widowControl/>
        <w:spacing w:after="0"/>
      </w:pPr>
    </w:p>
    <w:p>
      <w:pPr>
        <w:pStyle w:val="Heading2"/>
        <w:widowControl/>
      </w:pPr>
      <w:r>
        <w:t>Suggested API groups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shd w:fill="13253A"/>
          </w:tcPr>
          <w:p>
            <w:pPr>
              <w:spacing w:after="0"/>
            </w:pPr>
            <w:r>
              <w:rPr>
                <w:b/>
                <w:color w:val="FFFFFF"/>
                <w:sz w:val="15"/>
              </w:rPr>
              <w:t>Group</w:t>
            </w:r>
          </w:p>
        </w:tc>
        <w:tc>
          <w:tcPr>
            <w:tcW w:type="dxa" w:w="8136"/>
            <w:shd w:fill="13253A"/>
          </w:tcPr>
          <w:p>
            <w:pPr>
              <w:spacing w:after="0"/>
            </w:pPr>
            <w:r>
              <w:rPr>
                <w:b/>
                <w:color w:val="FFFFFF"/>
                <w:sz w:val="15"/>
              </w:rPr>
              <w:t>Examples / responsibility</w:t>
            </w:r>
          </w:p>
        </w:tc>
      </w:tr>
      <w:tr>
        <w:tc>
          <w:tcPr>
            <w:tcW w:type="dxa" w:w="2232"/>
            <w:vAlign w:val="top"/>
          </w:tcPr>
          <w:p>
            <w:pPr>
              <w:spacing w:after="0"/>
            </w:pPr>
            <w:r>
              <w:rPr>
                <w:sz w:val="14"/>
              </w:rPr>
              <w:t>/api/auth</w:t>
            </w:r>
          </w:p>
        </w:tc>
        <w:tc>
          <w:tcPr>
            <w:tcW w:type="dxa" w:w="8136"/>
            <w:vAlign w:val="top"/>
          </w:tcPr>
          <w:p>
            <w:pPr>
              <w:spacing w:after="0"/>
            </w:pPr>
            <w:r>
              <w:rPr>
                <w:sz w:val="14"/>
              </w:rPr>
              <w:t>login, refresh/session, logout, first-login password change, reset request/confirm, current user/context</w:t>
            </w:r>
          </w:p>
        </w:tc>
      </w:tr>
      <w:tr>
        <w:tc>
          <w:tcPr>
            <w:tcW w:type="dxa" w:w="2232"/>
            <w:vAlign w:val="top"/>
            <w:shd w:fill="F8FAFC"/>
          </w:tcPr>
          <w:p>
            <w:pPr>
              <w:spacing w:after="0"/>
            </w:pPr>
            <w:r>
              <w:rPr>
                <w:sz w:val="14"/>
              </w:rPr>
              <w:t>/api/institute</w:t>
            </w:r>
          </w:p>
        </w:tc>
        <w:tc>
          <w:tcPr>
            <w:tcW w:type="dxa" w:w="8136"/>
            <w:vAlign w:val="top"/>
            <w:shd w:fill="F8FAFC"/>
          </w:tcPr>
          <w:p>
            <w:pPr>
              <w:spacing w:after="0"/>
            </w:pPr>
            <w:r>
              <w:rPr>
                <w:sz w:val="14"/>
              </w:rPr>
              <w:t>current institute identity/branding, institute settings allowed to current role</w:t>
            </w:r>
          </w:p>
        </w:tc>
      </w:tr>
      <w:tr>
        <w:tc>
          <w:tcPr>
            <w:tcW w:type="dxa" w:w="2232"/>
            <w:vAlign w:val="top"/>
          </w:tcPr>
          <w:p>
            <w:pPr>
              <w:spacing w:after="0"/>
            </w:pPr>
            <w:r>
              <w:rPr>
                <w:sz w:val="14"/>
              </w:rPr>
              <w:t>/api/users</w:t>
            </w:r>
          </w:p>
        </w:tc>
        <w:tc>
          <w:tcPr>
            <w:tcW w:type="dxa" w:w="8136"/>
            <w:vAlign w:val="top"/>
          </w:tcPr>
          <w:p>
            <w:pPr>
              <w:spacing w:after="0"/>
            </w:pPr>
            <w:r>
              <w:rPr>
                <w:sz w:val="14"/>
              </w:rPr>
              <w:t>admin-managed accounts; activation/status/reset actions</w:t>
            </w:r>
          </w:p>
        </w:tc>
      </w:tr>
      <w:tr>
        <w:tc>
          <w:tcPr>
            <w:tcW w:type="dxa" w:w="2232"/>
            <w:vAlign w:val="top"/>
            <w:shd w:fill="F8FAFC"/>
          </w:tcPr>
          <w:p>
            <w:pPr>
              <w:spacing w:after="0"/>
            </w:pPr>
            <w:r>
              <w:rPr>
                <w:sz w:val="14"/>
              </w:rPr>
              <w:t>/api/students</w:t>
            </w:r>
          </w:p>
        </w:tc>
        <w:tc>
          <w:tcPr>
            <w:tcW w:type="dxa" w:w="8136"/>
            <w:vAlign w:val="top"/>
            <w:shd w:fill="F8FAFC"/>
          </w:tcPr>
          <w:p>
            <w:pPr>
              <w:spacing w:after="0"/>
            </w:pPr>
            <w:r>
              <w:rPr>
                <w:sz w:val="14"/>
              </w:rPr>
              <w:t>student profiles, enrollment/batch relationships, role-scoped retrieval</w:t>
            </w:r>
          </w:p>
        </w:tc>
      </w:tr>
      <w:tr>
        <w:tc>
          <w:tcPr>
            <w:tcW w:type="dxa" w:w="2232"/>
            <w:vAlign w:val="top"/>
          </w:tcPr>
          <w:p>
            <w:pPr>
              <w:spacing w:after="0"/>
            </w:pPr>
            <w:r>
              <w:rPr>
                <w:sz w:val="14"/>
              </w:rPr>
              <w:t>/api/teachers</w:t>
            </w:r>
          </w:p>
        </w:tc>
        <w:tc>
          <w:tcPr>
            <w:tcW w:type="dxa" w:w="8136"/>
            <w:vAlign w:val="top"/>
          </w:tcPr>
          <w:p>
            <w:pPr>
              <w:spacing w:after="0"/>
            </w:pPr>
            <w:r>
              <w:rPr>
                <w:sz w:val="14"/>
              </w:rPr>
              <w:t>teacher profiles and assignments</w:t>
            </w:r>
          </w:p>
        </w:tc>
      </w:tr>
      <w:tr>
        <w:tc>
          <w:tcPr>
            <w:tcW w:type="dxa" w:w="2232"/>
            <w:vAlign w:val="top"/>
            <w:shd w:fill="F8FAFC"/>
          </w:tcPr>
          <w:p>
            <w:pPr>
              <w:spacing w:after="0"/>
            </w:pPr>
            <w:r>
              <w:rPr>
                <w:sz w:val="14"/>
              </w:rPr>
              <w:t>/api/parents</w:t>
            </w:r>
          </w:p>
        </w:tc>
        <w:tc>
          <w:tcPr>
            <w:tcW w:type="dxa" w:w="8136"/>
            <w:vAlign w:val="top"/>
            <w:shd w:fill="F8FAFC"/>
          </w:tcPr>
          <w:p>
            <w:pPr>
              <w:spacing w:after="0"/>
            </w:pPr>
            <w:r>
              <w:rPr>
                <w:sz w:val="14"/>
              </w:rPr>
              <w:t>parent profiles and child links</w:t>
            </w:r>
          </w:p>
        </w:tc>
      </w:tr>
      <w:tr>
        <w:tc>
          <w:tcPr>
            <w:tcW w:type="dxa" w:w="2232"/>
            <w:vAlign w:val="top"/>
          </w:tcPr>
          <w:p>
            <w:pPr>
              <w:spacing w:after="0"/>
            </w:pPr>
            <w:r>
              <w:rPr>
                <w:sz w:val="14"/>
              </w:rPr>
              <w:t>/api/batches</w:t>
            </w:r>
          </w:p>
        </w:tc>
        <w:tc>
          <w:tcPr>
            <w:tcW w:type="dxa" w:w="8136"/>
            <w:vAlign w:val="top"/>
          </w:tcPr>
          <w:p>
            <w:pPr>
              <w:spacing w:after="0"/>
            </w:pPr>
            <w:r>
              <w:rPr>
                <w:sz w:val="14"/>
              </w:rPr>
              <w:t>batches, enrollments, assignments, batch details</w:t>
            </w:r>
          </w:p>
        </w:tc>
      </w:tr>
      <w:tr>
        <w:tc>
          <w:tcPr>
            <w:tcW w:type="dxa" w:w="2232"/>
            <w:vAlign w:val="top"/>
            <w:shd w:fill="F8FAFC"/>
          </w:tcPr>
          <w:p>
            <w:pPr>
              <w:spacing w:after="0"/>
            </w:pPr>
            <w:r>
              <w:rPr>
                <w:sz w:val="14"/>
              </w:rPr>
              <w:t>/api/timetable</w:t>
            </w:r>
          </w:p>
        </w:tc>
        <w:tc>
          <w:tcPr>
            <w:tcW w:type="dxa" w:w="8136"/>
            <w:vAlign w:val="top"/>
            <w:shd w:fill="F8FAFC"/>
          </w:tcPr>
          <w:p>
            <w:pPr>
              <w:spacing w:after="0"/>
            </w:pPr>
            <w:r>
              <w:rPr>
                <w:sz w:val="14"/>
              </w:rPr>
              <w:t>schedule list/create/update/cancel according to role</w:t>
            </w:r>
          </w:p>
        </w:tc>
      </w:tr>
      <w:tr>
        <w:tc>
          <w:tcPr>
            <w:tcW w:type="dxa" w:w="2232"/>
            <w:vAlign w:val="top"/>
          </w:tcPr>
          <w:p>
            <w:pPr>
              <w:spacing w:after="0"/>
            </w:pPr>
            <w:r>
              <w:rPr>
                <w:sz w:val="14"/>
              </w:rPr>
              <w:t>/api/attendance</w:t>
            </w:r>
          </w:p>
        </w:tc>
        <w:tc>
          <w:tcPr>
            <w:tcW w:type="dxa" w:w="8136"/>
            <w:vAlign w:val="top"/>
          </w:tcPr>
          <w:p>
            <w:pPr>
              <w:spacing w:after="0"/>
            </w:pPr>
            <w:r>
              <w:rPr>
                <w:sz w:val="14"/>
              </w:rPr>
              <w:t>sessions, records, summaries/history</w:t>
            </w:r>
          </w:p>
        </w:tc>
      </w:tr>
      <w:tr>
        <w:tc>
          <w:tcPr>
            <w:tcW w:type="dxa" w:w="2232"/>
            <w:vAlign w:val="top"/>
            <w:shd w:fill="F8FAFC"/>
          </w:tcPr>
          <w:p>
            <w:pPr>
              <w:spacing w:after="0"/>
            </w:pPr>
            <w:r>
              <w:rPr>
                <w:sz w:val="14"/>
              </w:rPr>
              <w:t>/api/fees</w:t>
            </w:r>
          </w:p>
        </w:tc>
        <w:tc>
          <w:tcPr>
            <w:tcW w:type="dxa" w:w="8136"/>
            <w:vAlign w:val="top"/>
            <w:shd w:fill="F8FAFC"/>
          </w:tcPr>
          <w:p>
            <w:pPr>
              <w:spacing w:after="0"/>
            </w:pPr>
            <w:r>
              <w:rPr>
                <w:sz w:val="14"/>
              </w:rPr>
              <w:t>plans/accounts/installments/payments/receipts/reminders</w:t>
            </w:r>
          </w:p>
        </w:tc>
      </w:tr>
      <w:tr>
        <w:tc>
          <w:tcPr>
            <w:tcW w:type="dxa" w:w="2232"/>
            <w:vAlign w:val="top"/>
          </w:tcPr>
          <w:p>
            <w:pPr>
              <w:spacing w:after="0"/>
            </w:pPr>
            <w:r>
              <w:rPr>
                <w:sz w:val="14"/>
              </w:rPr>
              <w:t>/api/materials</w:t>
            </w:r>
          </w:p>
        </w:tc>
        <w:tc>
          <w:tcPr>
            <w:tcW w:type="dxa" w:w="8136"/>
            <w:vAlign w:val="top"/>
          </w:tcPr>
          <w:p>
            <w:pPr>
              <w:spacing w:after="0"/>
            </w:pPr>
            <w:r>
              <w:rPr>
                <w:sz w:val="14"/>
              </w:rPr>
              <w:t>list/upload/detail/edit/delete/download authorization</w:t>
            </w:r>
          </w:p>
        </w:tc>
      </w:tr>
      <w:tr>
        <w:tc>
          <w:tcPr>
            <w:tcW w:type="dxa" w:w="2232"/>
            <w:vAlign w:val="top"/>
            <w:shd w:fill="F8FAFC"/>
          </w:tcPr>
          <w:p>
            <w:pPr>
              <w:spacing w:after="0"/>
            </w:pPr>
            <w:r>
              <w:rPr>
                <w:sz w:val="14"/>
              </w:rPr>
              <w:t>/api/exams</w:t>
            </w:r>
          </w:p>
        </w:tc>
        <w:tc>
          <w:tcPr>
            <w:tcW w:type="dxa" w:w="8136"/>
            <w:vAlign w:val="top"/>
            <w:shd w:fill="F8FAFC"/>
          </w:tcPr>
          <w:p>
            <w:pPr>
              <w:spacing w:after="0"/>
            </w:pPr>
            <w:r>
              <w:rPr>
                <w:sz w:val="14"/>
              </w:rPr>
              <w:t>exam lifecycle and marks entry</w:t>
            </w:r>
          </w:p>
        </w:tc>
      </w:tr>
      <w:tr>
        <w:tc>
          <w:tcPr>
            <w:tcW w:type="dxa" w:w="2232"/>
            <w:vAlign w:val="top"/>
          </w:tcPr>
          <w:p>
            <w:pPr>
              <w:spacing w:after="0"/>
            </w:pPr>
            <w:r>
              <w:rPr>
                <w:sz w:val="14"/>
              </w:rPr>
              <w:t>/api/results</w:t>
            </w:r>
          </w:p>
        </w:tc>
        <w:tc>
          <w:tcPr>
            <w:tcW w:type="dxa" w:w="8136"/>
            <w:vAlign w:val="top"/>
          </w:tcPr>
          <w:p>
            <w:pPr>
              <w:spacing w:after="0"/>
            </w:pPr>
            <w:r>
              <w:rPr>
                <w:sz w:val="14"/>
              </w:rPr>
              <w:t>publication, summaries, student result/report-card endpoints</w:t>
            </w:r>
          </w:p>
        </w:tc>
      </w:tr>
      <w:tr>
        <w:tc>
          <w:tcPr>
            <w:tcW w:type="dxa" w:w="2232"/>
            <w:vAlign w:val="top"/>
            <w:shd w:fill="F8FAFC"/>
          </w:tcPr>
          <w:p>
            <w:pPr>
              <w:spacing w:after="0"/>
            </w:pPr>
            <w:r>
              <w:rPr>
                <w:sz w:val="14"/>
              </w:rPr>
              <w:t>/api/announcements</w:t>
            </w:r>
          </w:p>
        </w:tc>
        <w:tc>
          <w:tcPr>
            <w:tcW w:type="dxa" w:w="8136"/>
            <w:vAlign w:val="top"/>
            <w:shd w:fill="F8FAFC"/>
          </w:tcPr>
          <w:p>
            <w:pPr>
              <w:spacing w:after="0"/>
            </w:pPr>
            <w:r>
              <w:rPr>
                <w:sz w:val="14"/>
              </w:rPr>
              <w:t>create/list/detail/audience resolution</w:t>
            </w:r>
          </w:p>
        </w:tc>
      </w:tr>
      <w:tr>
        <w:tc>
          <w:tcPr>
            <w:tcW w:type="dxa" w:w="2232"/>
            <w:vAlign w:val="top"/>
          </w:tcPr>
          <w:p>
            <w:pPr>
              <w:spacing w:after="0"/>
            </w:pPr>
            <w:r>
              <w:rPr>
                <w:sz w:val="14"/>
              </w:rPr>
              <w:t>/api/notifications</w:t>
            </w:r>
          </w:p>
        </w:tc>
        <w:tc>
          <w:tcPr>
            <w:tcW w:type="dxa" w:w="8136"/>
            <w:vAlign w:val="top"/>
          </w:tcPr>
          <w:p>
            <w:pPr>
              <w:spacing w:after="0"/>
            </w:pPr>
            <w:r>
              <w:rPr>
                <w:sz w:val="14"/>
              </w:rPr>
              <w:t>current-user in-app feed/read state; not a business-management CRUD page</w:t>
            </w:r>
          </w:p>
        </w:tc>
      </w:tr>
      <w:tr>
        <w:tc>
          <w:tcPr>
            <w:tcW w:type="dxa" w:w="2232"/>
            <w:vAlign w:val="top"/>
            <w:shd w:fill="F8FAFC"/>
          </w:tcPr>
          <w:p>
            <w:pPr>
              <w:spacing w:after="0"/>
            </w:pPr>
            <w:r>
              <w:rPr>
                <w:sz w:val="14"/>
              </w:rPr>
              <w:t>/api/super-admin</w:t>
            </w:r>
          </w:p>
        </w:tc>
        <w:tc>
          <w:tcPr>
            <w:tcW w:type="dxa" w:w="8136"/>
            <w:vAlign w:val="top"/>
            <w:shd w:fill="F8FAFC"/>
          </w:tcPr>
          <w:p>
            <w:pPr>
              <w:spacing w:after="0"/>
            </w:pPr>
            <w:r>
              <w:rPr>
                <w:sz w:val="14"/>
              </w:rPr>
              <w:t>institutes, domains, subscriptions, usage/support controls</w:t>
            </w:r>
          </w:p>
        </w:tc>
      </w:tr>
      <w:tr>
        <w:tc>
          <w:tcPr>
            <w:tcW w:type="dxa" w:w="2232"/>
            <w:vAlign w:val="top"/>
          </w:tcPr>
          <w:p>
            <w:pPr>
              <w:spacing w:after="0"/>
            </w:pPr>
            <w:r>
              <w:rPr>
                <w:sz w:val="14"/>
              </w:rPr>
              <w:t>/api/dashboard</w:t>
            </w:r>
          </w:p>
        </w:tc>
        <w:tc>
          <w:tcPr>
            <w:tcW w:type="dxa" w:w="8136"/>
            <w:vAlign w:val="top"/>
          </w:tcPr>
          <w:p>
            <w:pPr>
              <w:spacing w:after="0"/>
            </w:pPr>
            <w:r>
              <w:rPr>
                <w:sz w:val="14"/>
              </w:rPr>
              <w:t>role-specific aggregate data assembled from source modules</w:t>
            </w:r>
          </w:p>
        </w:tc>
      </w:tr>
    </w:tbl>
    <w:p>
      <w:pPr>
        <w:widowControl/>
        <w:spacing w:after="20"/>
      </w:pPr>
    </w:p>
    <w:p>
      <w:pPr>
        <w:pStyle w:val="Heading2"/>
        <w:widowControl/>
      </w:pPr>
      <w:r>
        <w:t>API response/error expectations</w:t>
      </w:r>
    </w:p>
    <w:p>
      <w:pPr>
        <w:pStyle w:val="ListBullet"/>
        <w:widowControl/>
        <w:spacing w:after="26"/>
        <w:ind w:left="288"/>
      </w:pPr>
      <w:r>
        <w:t>Use consistent JSON error shape with machine-readable code and human-readable message.</w:t>
      </w:r>
    </w:p>
    <w:p>
      <w:pPr>
        <w:pStyle w:val="ListBullet"/>
        <w:widowControl/>
        <w:spacing w:after="26"/>
        <w:ind w:left="288"/>
      </w:pPr>
      <w:r>
        <w:t>Use pagination for large lists.</w:t>
      </w:r>
    </w:p>
    <w:p>
      <w:pPr>
        <w:pStyle w:val="ListBullet"/>
        <w:widowControl/>
        <w:spacing w:after="26"/>
        <w:ind w:left="288"/>
      </w:pPr>
      <w:r>
        <w:t>Validate filters and sort fields.</w:t>
      </w:r>
    </w:p>
    <w:p>
      <w:pPr>
        <w:pStyle w:val="ListBullet"/>
        <w:widowControl/>
        <w:spacing w:after="26"/>
        <w:ind w:left="288"/>
      </w:pPr>
      <w:r>
        <w:t>Return 404/permission-safe responses when an object is outside tenant scope; do not leak existence of another tenant’s object.</w:t>
      </w:r>
    </w:p>
    <w:p>
      <w:pPr>
        <w:pStyle w:val="ListBullet"/>
        <w:widowControl/>
        <w:spacing w:after="26"/>
        <w:ind w:left="288"/>
      </w:pPr>
      <w:r>
        <w:t>Critical mutations should be idempotent where retry is likely, especially payments/notification-trigger actions.</w:t>
      </w:r>
    </w:p>
    <w:p>
      <w:pPr>
        <w:widowControl/>
      </w:pPr>
      <w:r>
        <w:br w:type="page"/>
      </w:r>
    </w:p>
    <w:p>
      <w:pPr>
        <w:pStyle w:val="Heading1"/>
        <w:widowControl/>
      </w:pPr>
      <w:r>
        <w:t>19. Frontend, UX &amp; PWA Rules</w:t>
      </w:r>
    </w:p>
    <w:p>
      <w:pPr>
        <w:pStyle w:val="ListBullet"/>
        <w:widowControl/>
        <w:spacing w:after="26"/>
        <w:ind w:left="288"/>
      </w:pPr>
      <w:r>
        <w:t>All portals share one design system and institute branding layer.</w:t>
      </w:r>
    </w:p>
    <w:p>
      <w:pPr>
        <w:pStyle w:val="ListBullet"/>
        <w:widowControl/>
        <w:spacing w:after="26"/>
        <w:ind w:left="288"/>
      </w:pPr>
      <w:r>
        <w:t>Admin visual language is based on the approved Admin design/reference; other portals should reuse those components but show role-appropriate information only.</w:t>
      </w:r>
    </w:p>
    <w:p>
      <w:pPr>
        <w:pStyle w:val="ListBullet"/>
        <w:widowControl/>
        <w:spacing w:after="26"/>
        <w:ind w:left="288"/>
      </w:pPr>
      <w:r>
        <w:t>Desktop-first Admin/Teacher experiences must still be responsive. Student/Parent flows must be excellent on mobile.</w:t>
      </w:r>
    </w:p>
    <w:p>
      <w:pPr>
        <w:pStyle w:val="ListBullet"/>
        <w:widowControl/>
        <w:spacing w:after="26"/>
        <w:ind w:left="288"/>
      </w:pPr>
      <w:r>
        <w:t>Do not render actions the role cannot perform, but backend must also deny them.</w:t>
      </w:r>
    </w:p>
    <w:p>
      <w:pPr>
        <w:pStyle w:val="ListBullet"/>
        <w:widowControl/>
        <w:spacing w:after="26"/>
        <w:ind w:left="288"/>
      </w:pPr>
      <w:r>
        <w:t>Always include loading, empty, error, unauthorized/forbidden and success states for data-driven pages.</w:t>
      </w:r>
    </w:p>
    <w:p>
      <w:pPr>
        <w:pStyle w:val="ListBullet"/>
        <w:widowControl/>
        <w:spacing w:after="26"/>
        <w:ind w:left="288"/>
      </w:pPr>
      <w:r>
        <w:t>Tables should paginate and adapt on smaller screens rather than overflow unusably.</w:t>
      </w:r>
    </w:p>
    <w:p>
      <w:pPr>
        <w:pStyle w:val="ListBullet"/>
        <w:widowControl/>
        <w:spacing w:after="26"/>
        <w:ind w:left="288"/>
      </w:pPr>
      <w:r>
        <w:t>Use accessible labels, keyboard-friendly controls, sufficient contrast and clear status text in addition to color.</w:t>
      </w:r>
    </w:p>
    <w:p>
      <w:pPr>
        <w:pStyle w:val="ListBullet"/>
        <w:widowControl/>
        <w:spacing w:after="26"/>
        <w:ind w:left="288"/>
      </w:pPr>
      <w:r>
        <w:t>PWA manifest/icon/name are institute-branded where feasible. Service worker/offline behavior should not cache sensitive responses insecurely.</w:t>
      </w:r>
    </w:p>
    <w:p>
      <w:pPr>
        <w:pStyle w:val="Heading2"/>
        <w:widowControl/>
      </w:pPr>
      <w:r>
        <w:t>Branding resolution</w:t>
      </w:r>
    </w:p>
    <w:p>
      <w:pPr>
        <w:pStyle w:val="ListBullet"/>
        <w:widowControl/>
        <w:spacing w:after="26"/>
        <w:ind w:left="288"/>
      </w:pPr>
      <w:r>
        <w:t>Institute name, logo, primary accent, contact details and favicon come from institute configuration resolved by domain.</w:t>
      </w:r>
    </w:p>
    <w:p>
      <w:pPr>
        <w:pStyle w:val="ListBullet"/>
        <w:widowControl/>
        <w:spacing w:after="26"/>
        <w:ind w:left="288"/>
      </w:pPr>
      <w:r>
        <w:t>GrowthSathi may be shown subtly as provider attribution only if desired; end-user primary identity is the institute.</w:t>
      </w:r>
    </w:p>
    <w:p>
      <w:pPr>
        <w:pStyle w:val="ListBullet"/>
        <w:widowControl/>
        <w:spacing w:after="26"/>
        <w:ind w:left="288"/>
      </w:pPr>
      <w:r>
        <w:t>Generated receipts/report cards use institute identity.</w:t>
      </w:r>
    </w:p>
    <w:p>
      <w:pPr>
        <w:widowControl/>
      </w:pPr>
      <w:r>
        <w:br w:type="page"/>
      </w:r>
    </w:p>
    <w:p>
      <w:pPr>
        <w:pStyle w:val="Heading1"/>
        <w:widowControl/>
      </w:pPr>
      <w:r>
        <w:t>20. Security, Privacy &amp; Audit Requirements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880"/>
            <w:shd w:fill="13253A"/>
          </w:tcPr>
          <w:p>
            <w:pPr>
              <w:spacing w:after="0"/>
            </w:pPr>
            <w:r>
              <w:rPr>
                <w:b/>
                <w:color w:val="FFFFFF"/>
                <w:sz w:val="15"/>
              </w:rPr>
              <w:t>Risk</w:t>
            </w:r>
          </w:p>
        </w:tc>
        <w:tc>
          <w:tcPr>
            <w:tcW w:type="dxa" w:w="7488"/>
            <w:shd w:fill="13253A"/>
          </w:tcPr>
          <w:p>
            <w:pPr>
              <w:spacing w:after="0"/>
            </w:pPr>
            <w:r>
              <w:rPr>
                <w:b/>
                <w:color w:val="FFFFFF"/>
                <w:sz w:val="15"/>
              </w:rPr>
              <w:t>Required control</w:t>
            </w:r>
          </w:p>
        </w:tc>
      </w:tr>
      <w:tr>
        <w:tc>
          <w:tcPr>
            <w:tcW w:type="dxa" w:w="2880"/>
            <w:vAlign w:val="top"/>
          </w:tcPr>
          <w:p>
            <w:pPr>
              <w:spacing w:after="0"/>
            </w:pPr>
            <w:r>
              <w:rPr>
                <w:sz w:val="14"/>
              </w:rPr>
              <w:t>Cross-institute data leakage</w:t>
            </w:r>
          </w:p>
        </w:tc>
        <w:tc>
          <w:tcPr>
            <w:tcW w:type="dxa" w:w="7488"/>
            <w:vAlign w:val="top"/>
          </w:tcPr>
          <w:p>
            <w:pPr>
              <w:spacing w:after="0"/>
            </w:pPr>
            <w:r>
              <w:rPr>
                <w:sz w:val="14"/>
              </w:rPr>
              <w:t>Central tenant scoping, same-tenant FK validation, automated isolation tests</w:t>
            </w:r>
          </w:p>
        </w:tc>
      </w:tr>
      <w:tr>
        <w:tc>
          <w:tcPr>
            <w:tcW w:type="dxa" w:w="2880"/>
            <w:vAlign w:val="top"/>
            <w:shd w:fill="F8FAFC"/>
          </w:tcPr>
          <w:p>
            <w:pPr>
              <w:spacing w:after="0"/>
            </w:pPr>
            <w:r>
              <w:rPr>
                <w:sz w:val="14"/>
              </w:rPr>
              <w:t>Wrong role access</w:t>
            </w:r>
          </w:p>
        </w:tc>
        <w:tc>
          <w:tcPr>
            <w:tcW w:type="dxa" w:w="7488"/>
            <w:vAlign w:val="top"/>
            <w:shd w:fill="F8FAFC"/>
          </w:tcPr>
          <w:p>
            <w:pPr>
              <w:spacing w:after="0"/>
            </w:pPr>
            <w:r>
              <w:rPr>
                <w:sz w:val="14"/>
              </w:rPr>
              <w:t>Backend RBAC + secondary scope checks, not only frontend menus</w:t>
            </w:r>
          </w:p>
        </w:tc>
      </w:tr>
      <w:tr>
        <w:tc>
          <w:tcPr>
            <w:tcW w:type="dxa" w:w="2880"/>
            <w:vAlign w:val="top"/>
          </w:tcPr>
          <w:p>
            <w:pPr>
              <w:spacing w:after="0"/>
            </w:pPr>
            <w:r>
              <w:rPr>
                <w:sz w:val="14"/>
              </w:rPr>
              <w:t>Account takeover</w:t>
            </w:r>
          </w:p>
        </w:tc>
        <w:tc>
          <w:tcPr>
            <w:tcW w:type="dxa" w:w="7488"/>
            <w:vAlign w:val="top"/>
          </w:tcPr>
          <w:p>
            <w:pPr>
              <w:spacing w:after="0"/>
            </w:pPr>
            <w:r>
              <w:rPr>
                <w:sz w:val="14"/>
              </w:rPr>
              <w:t>Strong password hashing, reset tokens, rate limiting, secure cookies/tokens, HTTPS</w:t>
            </w:r>
          </w:p>
        </w:tc>
      </w:tr>
      <w:tr>
        <w:tc>
          <w:tcPr>
            <w:tcW w:type="dxa" w:w="2880"/>
            <w:vAlign w:val="top"/>
            <w:shd w:fill="F8FAFC"/>
          </w:tcPr>
          <w:p>
            <w:pPr>
              <w:spacing w:after="0"/>
            </w:pPr>
            <w:r>
              <w:rPr>
                <w:sz w:val="14"/>
              </w:rPr>
              <w:t>Unauthorized file access</w:t>
            </w:r>
          </w:p>
        </w:tc>
        <w:tc>
          <w:tcPr>
            <w:tcW w:type="dxa" w:w="7488"/>
            <w:vAlign w:val="top"/>
            <w:shd w:fill="F8FAFC"/>
          </w:tcPr>
          <w:p>
            <w:pPr>
              <w:spacing w:after="0"/>
            </w:pPr>
            <w:r>
              <w:rPr>
                <w:sz w:val="14"/>
              </w:rPr>
              <w:t>Tenant/role authorization before signed URL/download response</w:t>
            </w:r>
          </w:p>
        </w:tc>
      </w:tr>
      <w:tr>
        <w:tc>
          <w:tcPr>
            <w:tcW w:type="dxa" w:w="2880"/>
            <w:vAlign w:val="top"/>
          </w:tcPr>
          <w:p>
            <w:pPr>
              <w:spacing w:after="0"/>
            </w:pPr>
            <w:r>
              <w:rPr>
                <w:sz w:val="14"/>
              </w:rPr>
              <w:t>Tampered marks/fees</w:t>
            </w:r>
          </w:p>
        </w:tc>
        <w:tc>
          <w:tcPr>
            <w:tcW w:type="dxa" w:w="7488"/>
            <w:vAlign w:val="top"/>
          </w:tcPr>
          <w:p>
            <w:pPr>
              <w:spacing w:after="0"/>
            </w:pPr>
            <w:r>
              <w:rPr>
                <w:sz w:val="14"/>
              </w:rPr>
              <w:t>Validation + audit log + limited edit rights</w:t>
            </w:r>
          </w:p>
        </w:tc>
      </w:tr>
      <w:tr>
        <w:tc>
          <w:tcPr>
            <w:tcW w:type="dxa" w:w="2880"/>
            <w:vAlign w:val="top"/>
            <w:shd w:fill="F8FAFC"/>
          </w:tcPr>
          <w:p>
            <w:pPr>
              <w:spacing w:after="0"/>
            </w:pPr>
            <w:r>
              <w:rPr>
                <w:sz w:val="14"/>
              </w:rPr>
              <w:t>Sensitive logging</w:t>
            </w:r>
          </w:p>
        </w:tc>
        <w:tc>
          <w:tcPr>
            <w:tcW w:type="dxa" w:w="7488"/>
            <w:vAlign w:val="top"/>
            <w:shd w:fill="F8FAFC"/>
          </w:tcPr>
          <w:p>
            <w:pPr>
              <w:spacing w:after="0"/>
            </w:pPr>
            <w:r>
              <w:rPr>
                <w:sz w:val="14"/>
              </w:rPr>
              <w:t>Do not log passwords/tokens; avoid full sensitive payloads</w:t>
            </w:r>
          </w:p>
        </w:tc>
      </w:tr>
      <w:tr>
        <w:tc>
          <w:tcPr>
            <w:tcW w:type="dxa" w:w="2880"/>
            <w:vAlign w:val="top"/>
          </w:tcPr>
          <w:p>
            <w:pPr>
              <w:spacing w:after="0"/>
            </w:pPr>
            <w:r>
              <w:rPr>
                <w:sz w:val="14"/>
              </w:rPr>
              <w:t>Mass assignment</w:t>
            </w:r>
          </w:p>
        </w:tc>
        <w:tc>
          <w:tcPr>
            <w:tcW w:type="dxa" w:w="7488"/>
            <w:vAlign w:val="top"/>
          </w:tcPr>
          <w:p>
            <w:pPr>
              <w:spacing w:after="0"/>
            </w:pPr>
            <w:r>
              <w:rPr>
                <w:sz w:val="14"/>
              </w:rPr>
              <w:t>Serializer/form allowlists; do not trust client-submitted institute/user ownership fields</w:t>
            </w:r>
          </w:p>
        </w:tc>
      </w:tr>
      <w:tr>
        <w:tc>
          <w:tcPr>
            <w:tcW w:type="dxa" w:w="2880"/>
            <w:vAlign w:val="top"/>
            <w:shd w:fill="F8FAFC"/>
          </w:tcPr>
          <w:p>
            <w:pPr>
              <w:spacing w:after="0"/>
            </w:pPr>
            <w:r>
              <w:rPr>
                <w:sz w:val="14"/>
              </w:rPr>
              <w:t>CSRF/XSS</w:t>
            </w:r>
          </w:p>
        </w:tc>
        <w:tc>
          <w:tcPr>
            <w:tcW w:type="dxa" w:w="7488"/>
            <w:vAlign w:val="top"/>
            <w:shd w:fill="F8FAFC"/>
          </w:tcPr>
          <w:p>
            <w:pPr>
              <w:spacing w:after="0"/>
            </w:pPr>
            <w:r>
              <w:rPr>
                <w:sz w:val="14"/>
              </w:rPr>
              <w:t>Use framework protections, secure cookie/CSRF policy and output escaping</w:t>
            </w:r>
          </w:p>
        </w:tc>
      </w:tr>
      <w:tr>
        <w:tc>
          <w:tcPr>
            <w:tcW w:type="dxa" w:w="2880"/>
            <w:vAlign w:val="top"/>
          </w:tcPr>
          <w:p>
            <w:pPr>
              <w:spacing w:after="0"/>
            </w:pPr>
            <w:r>
              <w:rPr>
                <w:sz w:val="14"/>
              </w:rPr>
              <w:t>Broken object authorization</w:t>
            </w:r>
          </w:p>
        </w:tc>
        <w:tc>
          <w:tcPr>
            <w:tcW w:type="dxa" w:w="7488"/>
            <w:vAlign w:val="top"/>
          </w:tcPr>
          <w:p>
            <w:pPr>
              <w:spacing w:after="0"/>
            </w:pPr>
            <w:r>
              <w:rPr>
                <w:sz w:val="14"/>
              </w:rPr>
              <w:t>Check scope on every detail/mutation endpoint</w:t>
            </w:r>
          </w:p>
        </w:tc>
      </w:tr>
      <w:tr>
        <w:tc>
          <w:tcPr>
            <w:tcW w:type="dxa" w:w="2880"/>
            <w:vAlign w:val="top"/>
            <w:shd w:fill="F8FAFC"/>
          </w:tcPr>
          <w:p>
            <w:pPr>
              <w:spacing w:after="0"/>
            </w:pPr>
            <w:r>
              <w:rPr>
                <w:sz w:val="14"/>
              </w:rPr>
              <w:t>Data loss</w:t>
            </w:r>
          </w:p>
        </w:tc>
        <w:tc>
          <w:tcPr>
            <w:tcW w:type="dxa" w:w="7488"/>
            <w:vAlign w:val="top"/>
            <w:shd w:fill="F8FAFC"/>
          </w:tcPr>
          <w:p>
            <w:pPr>
              <w:spacing w:after="0"/>
            </w:pPr>
            <w:r>
              <w:rPr>
                <w:sz w:val="14"/>
              </w:rPr>
              <w:t>Automated database backups and object-storage durability/backup policy</w:t>
            </w:r>
          </w:p>
        </w:tc>
      </w:tr>
    </w:tbl>
    <w:p>
      <w:pPr>
        <w:widowControl/>
        <w:spacing w:after="20"/>
      </w:pPr>
    </w:p>
    <w:p>
      <w:pPr>
        <w:pStyle w:val="Heading2"/>
        <w:widowControl/>
      </w:pPr>
      <w:r>
        <w:t>Audit events required in V1</w:t>
      </w:r>
    </w:p>
    <w:p>
      <w:pPr>
        <w:pStyle w:val="ListBullet"/>
        <w:widowControl/>
        <w:spacing w:after="26"/>
        <w:ind w:left="288"/>
      </w:pPr>
      <w:r>
        <w:t>User/account activation, disable/enable and password reset by Admin/Super Admin</w:t>
      </w:r>
    </w:p>
    <w:p>
      <w:pPr>
        <w:pStyle w:val="ListBullet"/>
        <w:widowControl/>
        <w:spacing w:after="26"/>
        <w:ind w:left="288"/>
      </w:pPr>
      <w:r>
        <w:t>Institute activation/deactivation</w:t>
      </w:r>
    </w:p>
    <w:p>
      <w:pPr>
        <w:pStyle w:val="ListBullet"/>
        <w:widowControl/>
        <w:spacing w:after="26"/>
        <w:ind w:left="288"/>
      </w:pPr>
      <w:r>
        <w:t>Domain/plan/limit changes</w:t>
      </w:r>
    </w:p>
    <w:p>
      <w:pPr>
        <w:pStyle w:val="ListBullet"/>
        <w:widowControl/>
        <w:spacing w:after="26"/>
        <w:ind w:left="288"/>
      </w:pPr>
      <w:r>
        <w:t>Fee payment create/edit/reversal</w:t>
      </w:r>
    </w:p>
    <w:p>
      <w:pPr>
        <w:pStyle w:val="ListBullet"/>
        <w:widowControl/>
        <w:spacing w:after="26"/>
        <w:ind w:left="288"/>
      </w:pPr>
      <w:r>
        <w:t>Published result/marks changes after initial save where allowed</w:t>
      </w:r>
    </w:p>
    <w:p>
      <w:pPr>
        <w:pStyle w:val="ListBullet"/>
        <w:widowControl/>
        <w:spacing w:after="26"/>
        <w:ind w:left="288"/>
      </w:pPr>
      <w:r>
        <w:t>Attendance correction after initial save where allowed</w:t>
      </w:r>
    </w:p>
    <w:p>
      <w:pPr>
        <w:pStyle w:val="ListBullet"/>
        <w:widowControl/>
        <w:spacing w:after="26"/>
        <w:ind w:left="288"/>
      </w:pPr>
      <w:r>
        <w:t>Critical deletes/deactivations of academic records</w:t>
      </w:r>
    </w:p>
    <w:tbl>
      <w:tblPr>
        <w:tblW w:type="auto" w:w="0"/>
        <w:jc w:val="center"/>
        <w:tblLook w:firstColumn="1" w:firstRow="1" w:lastColumn="0" w:lastRow="0" w:noHBand="0" w:noVBand="1" w:val="04A0"/>
      </w:tblPr>
      <w:tblGrid>
        <w:gridCol w:w="10282"/>
      </w:tblGrid>
      <w:tr>
        <w:tc>
          <w:tcPr>
            <w:tcW w:type="dxa" w:w="10282"/>
            <w:shd w:fill="FFF7ED"/>
            <w:vAlign w:val="center"/>
          </w:tcPr>
          <w:p>
            <w:pPr>
              <w:spacing w:after="40"/>
            </w:pPr>
            <w:r>
              <w:rPr>
                <w:b/>
                <w:color w:val="D97706"/>
                <w:sz w:val="20"/>
              </w:rPr>
              <w:t>Student/parent data</w:t>
            </w:r>
          </w:p>
          <w:p>
            <w:pPr>
              <w:pStyle w:val="SpecNote"/>
              <w:spacing w:after="80"/>
            </w:pPr>
            <w:r>
              <w:t>The system handles personal data, including data about minors. Collect only information needed for the service, expose it only to authorized users, and design consent/privacy processes before production onboarding.</w:t>
            </w:r>
          </w:p>
        </w:tc>
      </w:tr>
    </w:tbl>
    <w:p>
      <w:pPr>
        <w:widowControl/>
        <w:spacing w:after="0"/>
      </w:pPr>
    </w:p>
    <w:p>
      <w:pPr>
        <w:widowControl/>
      </w:pPr>
      <w:r>
        <w:br w:type="page"/>
      </w:r>
    </w:p>
    <w:p>
      <w:pPr>
        <w:pStyle w:val="Heading1"/>
        <w:widowControl/>
      </w:pPr>
      <w:r>
        <w:t>21. Core Validation &amp; Business Rules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232"/>
            <w:shd w:fill="13253A"/>
          </w:tcPr>
          <w:p>
            <w:pPr>
              <w:spacing w:after="0"/>
            </w:pPr>
            <w:r>
              <w:rPr>
                <w:b/>
                <w:color w:val="FFFFFF"/>
                <w:sz w:val="15"/>
              </w:rPr>
              <w:t>Area</w:t>
            </w:r>
          </w:p>
        </w:tc>
        <w:tc>
          <w:tcPr>
            <w:tcW w:type="dxa" w:w="8136"/>
            <w:shd w:fill="13253A"/>
          </w:tcPr>
          <w:p>
            <w:pPr>
              <w:spacing w:after="0"/>
            </w:pPr>
            <w:r>
              <w:rPr>
                <w:b/>
                <w:color w:val="FFFFFF"/>
                <w:sz w:val="15"/>
              </w:rPr>
              <w:t>Rules</w:t>
            </w:r>
          </w:p>
        </w:tc>
      </w:tr>
      <w:tr>
        <w:tc>
          <w:tcPr>
            <w:tcW w:type="dxa" w:w="2232"/>
            <w:vAlign w:val="top"/>
          </w:tcPr>
          <w:p>
            <w:pPr>
              <w:spacing w:after="0"/>
            </w:pPr>
            <w:r>
              <w:rPr>
                <w:sz w:val="14"/>
              </w:rPr>
              <w:t>Users</w:t>
            </w:r>
          </w:p>
        </w:tc>
        <w:tc>
          <w:tcPr>
            <w:tcW w:type="dxa" w:w="8136"/>
            <w:vAlign w:val="top"/>
          </w:tcPr>
          <w:p>
            <w:pPr>
              <w:spacing w:after="0"/>
            </w:pPr>
            <w:r>
              <w:rPr>
                <w:sz w:val="14"/>
              </w:rPr>
              <w:t>Email/phone identifiers normalized; role/institute cannot be self-changed; disabled users blocked</w:t>
            </w:r>
          </w:p>
        </w:tc>
      </w:tr>
      <w:tr>
        <w:tc>
          <w:tcPr>
            <w:tcW w:type="dxa" w:w="2232"/>
            <w:vAlign w:val="top"/>
            <w:shd w:fill="F8FAFC"/>
          </w:tcPr>
          <w:p>
            <w:pPr>
              <w:spacing w:after="0"/>
            </w:pPr>
            <w:r>
              <w:rPr>
                <w:sz w:val="14"/>
              </w:rPr>
              <w:t>Assignments</w:t>
            </w:r>
          </w:p>
        </w:tc>
        <w:tc>
          <w:tcPr>
            <w:tcW w:type="dxa" w:w="8136"/>
            <w:vAlign w:val="top"/>
            <w:shd w:fill="F8FAFC"/>
          </w:tcPr>
          <w:p>
            <w:pPr>
              <w:spacing w:after="0"/>
            </w:pPr>
            <w:r>
              <w:rPr>
                <w:sz w:val="14"/>
              </w:rPr>
              <w:t>Teacher, batch, subject must belong to same institute; assignment drives Teacher access</w:t>
            </w:r>
          </w:p>
        </w:tc>
      </w:tr>
      <w:tr>
        <w:tc>
          <w:tcPr>
            <w:tcW w:type="dxa" w:w="2232"/>
            <w:vAlign w:val="top"/>
          </w:tcPr>
          <w:p>
            <w:pPr>
              <w:spacing w:after="0"/>
            </w:pPr>
            <w:r>
              <w:rPr>
                <w:sz w:val="14"/>
              </w:rPr>
              <w:t>Enrollment</w:t>
            </w:r>
          </w:p>
        </w:tc>
        <w:tc>
          <w:tcPr>
            <w:tcW w:type="dxa" w:w="8136"/>
            <w:vAlign w:val="top"/>
          </w:tcPr>
          <w:p>
            <w:pPr>
              <w:spacing w:after="0"/>
            </w:pPr>
            <w:r>
              <w:rPr>
                <w:sz w:val="14"/>
              </w:rPr>
              <w:t>Student and batch same institute/year; preserve history on transfer</w:t>
            </w:r>
          </w:p>
        </w:tc>
      </w:tr>
      <w:tr>
        <w:tc>
          <w:tcPr>
            <w:tcW w:type="dxa" w:w="2232"/>
            <w:vAlign w:val="top"/>
            <w:shd w:fill="F8FAFC"/>
          </w:tcPr>
          <w:p>
            <w:pPr>
              <w:spacing w:after="0"/>
            </w:pPr>
            <w:r>
              <w:rPr>
                <w:sz w:val="14"/>
              </w:rPr>
              <w:t>Timetable</w:t>
            </w:r>
          </w:p>
        </w:tc>
        <w:tc>
          <w:tcPr>
            <w:tcW w:type="dxa" w:w="8136"/>
            <w:vAlign w:val="top"/>
            <w:shd w:fill="F8FAFC"/>
          </w:tcPr>
          <w:p>
            <w:pPr>
              <w:spacing w:after="0"/>
            </w:pPr>
            <w:r>
              <w:rPr>
                <w:sz w:val="14"/>
              </w:rPr>
              <w:t>Start &lt; end; teacher/room conflict detection; canceled/rescheduled state preserved</w:t>
            </w:r>
          </w:p>
        </w:tc>
      </w:tr>
      <w:tr>
        <w:tc>
          <w:tcPr>
            <w:tcW w:type="dxa" w:w="2232"/>
            <w:vAlign w:val="top"/>
          </w:tcPr>
          <w:p>
            <w:pPr>
              <w:spacing w:after="0"/>
            </w:pPr>
            <w:r>
              <w:rPr>
                <w:sz w:val="14"/>
              </w:rPr>
              <w:t>Attendance</w:t>
            </w:r>
          </w:p>
        </w:tc>
        <w:tc>
          <w:tcPr>
            <w:tcW w:type="dxa" w:w="8136"/>
            <w:vAlign w:val="top"/>
          </w:tcPr>
          <w:p>
            <w:pPr>
              <w:spacing w:after="0"/>
            </w:pPr>
            <w:r>
              <w:rPr>
                <w:sz w:val="14"/>
              </w:rPr>
              <w:t>One record/student/session; valid statuses only; session belongs to assigned batch/subject</w:t>
            </w:r>
          </w:p>
        </w:tc>
      </w:tr>
      <w:tr>
        <w:tc>
          <w:tcPr>
            <w:tcW w:type="dxa" w:w="2232"/>
            <w:vAlign w:val="top"/>
            <w:shd w:fill="F8FAFC"/>
          </w:tcPr>
          <w:p>
            <w:pPr>
              <w:spacing w:after="0"/>
            </w:pPr>
            <w:r>
              <w:rPr>
                <w:sz w:val="14"/>
              </w:rPr>
              <w:t>Fees</w:t>
            </w:r>
          </w:p>
        </w:tc>
        <w:tc>
          <w:tcPr>
            <w:tcW w:type="dxa" w:w="8136"/>
            <w:vAlign w:val="top"/>
            <w:shd w:fill="F8FAFC"/>
          </w:tcPr>
          <w:p>
            <w:pPr>
              <w:spacing w:after="0"/>
            </w:pPr>
            <w:r>
              <w:rPr>
                <w:sz w:val="14"/>
              </w:rPr>
              <w:t>Amounts non-negative; payments cannot exceed configured logic without explicit allowance; receipts unique</w:t>
            </w:r>
          </w:p>
        </w:tc>
      </w:tr>
      <w:tr>
        <w:tc>
          <w:tcPr>
            <w:tcW w:type="dxa" w:w="2232"/>
            <w:vAlign w:val="top"/>
          </w:tcPr>
          <w:p>
            <w:pPr>
              <w:spacing w:after="0"/>
            </w:pPr>
            <w:r>
              <w:rPr>
                <w:sz w:val="14"/>
              </w:rPr>
              <w:t>Materials</w:t>
            </w:r>
          </w:p>
        </w:tc>
        <w:tc>
          <w:tcPr>
            <w:tcW w:type="dxa" w:w="8136"/>
            <w:vAlign w:val="top"/>
          </w:tcPr>
          <w:p>
            <w:pPr>
              <w:spacing w:after="0"/>
            </w:pPr>
            <w:r>
              <w:rPr>
                <w:sz w:val="14"/>
              </w:rPr>
              <w:t>Allowed file/link types; teacher only assigned batch/subject; visibility must be enforceable</w:t>
            </w:r>
          </w:p>
        </w:tc>
      </w:tr>
      <w:tr>
        <w:tc>
          <w:tcPr>
            <w:tcW w:type="dxa" w:w="2232"/>
            <w:vAlign w:val="top"/>
            <w:shd w:fill="F8FAFC"/>
          </w:tcPr>
          <w:p>
            <w:pPr>
              <w:spacing w:after="0"/>
            </w:pPr>
            <w:r>
              <w:rPr>
                <w:sz w:val="14"/>
              </w:rPr>
              <w:t>Exams</w:t>
            </w:r>
          </w:p>
        </w:tc>
        <w:tc>
          <w:tcPr>
            <w:tcW w:type="dxa" w:w="8136"/>
            <w:vAlign w:val="top"/>
            <w:shd w:fill="F8FAFC"/>
          </w:tcPr>
          <w:p>
            <w:pPr>
              <w:spacing w:after="0"/>
            </w:pPr>
            <w:r>
              <w:rPr>
                <w:sz w:val="14"/>
              </w:rPr>
              <w:t>Total/passing marks valid; teacher marks within bounds; publication controls visibility</w:t>
            </w:r>
          </w:p>
        </w:tc>
      </w:tr>
      <w:tr>
        <w:tc>
          <w:tcPr>
            <w:tcW w:type="dxa" w:w="2232"/>
            <w:vAlign w:val="top"/>
          </w:tcPr>
          <w:p>
            <w:pPr>
              <w:spacing w:after="0"/>
            </w:pPr>
            <w:r>
              <w:rPr>
                <w:sz w:val="14"/>
              </w:rPr>
              <w:t>Announcements</w:t>
            </w:r>
          </w:p>
        </w:tc>
        <w:tc>
          <w:tcPr>
            <w:tcW w:type="dxa" w:w="8136"/>
            <w:vAlign w:val="top"/>
          </w:tcPr>
          <w:p>
            <w:pPr>
              <w:spacing w:after="0"/>
            </w:pPr>
            <w:r>
              <w:rPr>
                <w:sz w:val="14"/>
              </w:rPr>
              <w:t>Audience must belong to institute; Teacher batch audience limited to assigned batches</w:t>
            </w:r>
          </w:p>
        </w:tc>
      </w:tr>
      <w:tr>
        <w:tc>
          <w:tcPr>
            <w:tcW w:type="dxa" w:w="2232"/>
            <w:vAlign w:val="top"/>
            <w:shd w:fill="F8FAFC"/>
          </w:tcPr>
          <w:p>
            <w:pPr>
              <w:spacing w:after="0"/>
            </w:pPr>
            <w:r>
              <w:rPr>
                <w:sz w:val="14"/>
              </w:rPr>
              <w:t>Parent links</w:t>
            </w:r>
          </w:p>
        </w:tc>
        <w:tc>
          <w:tcPr>
            <w:tcW w:type="dxa" w:w="8136"/>
            <w:vAlign w:val="top"/>
            <w:shd w:fill="F8FAFC"/>
          </w:tcPr>
          <w:p>
            <w:pPr>
              <w:spacing w:after="0"/>
            </w:pPr>
            <w:r>
              <w:rPr>
                <w:sz w:val="14"/>
              </w:rPr>
              <w:t>Parent and child same institute; only linked children visible</w:t>
            </w:r>
          </w:p>
        </w:tc>
      </w:tr>
      <w:tr>
        <w:tc>
          <w:tcPr>
            <w:tcW w:type="dxa" w:w="2232"/>
            <w:vAlign w:val="top"/>
          </w:tcPr>
          <w:p>
            <w:pPr>
              <w:spacing w:after="0"/>
            </w:pPr>
            <w:r>
              <w:rPr>
                <w:sz w:val="14"/>
              </w:rPr>
              <w:t>Domains</w:t>
            </w:r>
          </w:p>
        </w:tc>
        <w:tc>
          <w:tcPr>
            <w:tcW w:type="dxa" w:w="8136"/>
            <w:vAlign w:val="top"/>
          </w:tcPr>
          <w:p>
            <w:pPr>
              <w:spacing w:after="0"/>
            </w:pPr>
            <w:r>
              <w:rPr>
                <w:sz w:val="14"/>
              </w:rPr>
              <w:t>Hostname unique globally; custom domain must be verified before active routing</w:t>
            </w:r>
          </w:p>
        </w:tc>
      </w:tr>
      <w:tr>
        <w:tc>
          <w:tcPr>
            <w:tcW w:type="dxa" w:w="2232"/>
            <w:vAlign w:val="top"/>
            <w:shd w:fill="F8FAFC"/>
          </w:tcPr>
          <w:p>
            <w:pPr>
              <w:spacing w:after="0"/>
            </w:pPr>
            <w:r>
              <w:rPr>
                <w:sz w:val="14"/>
              </w:rPr>
              <w:t>Subscriptions</w:t>
            </w:r>
          </w:p>
        </w:tc>
        <w:tc>
          <w:tcPr>
            <w:tcW w:type="dxa" w:w="8136"/>
            <w:vAlign w:val="top"/>
            <w:shd w:fill="F8FAFC"/>
          </w:tcPr>
          <w:p>
            <w:pPr>
              <w:spacing w:after="0"/>
            </w:pPr>
            <w:r>
              <w:rPr>
                <w:sz w:val="14"/>
              </w:rPr>
              <w:t>Deactivated/suspended institute blocks tenant login while preserving data</w:t>
            </w:r>
          </w:p>
        </w:tc>
      </w:tr>
    </w:tbl>
    <w:p>
      <w:pPr>
        <w:widowControl/>
        <w:spacing w:after="20"/>
      </w:pPr>
    </w:p>
    <w:p>
      <w:pPr>
        <w:widowControl/>
      </w:pPr>
      <w:r>
        <w:br w:type="page"/>
      </w:r>
    </w:p>
    <w:p>
      <w:pPr>
        <w:pStyle w:val="Heading1"/>
        <w:widowControl/>
      </w:pPr>
      <w:r>
        <w:t>22. Testing Strategy — Mandatory Before Deployment</w:t>
      </w:r>
    </w:p>
    <w:p>
      <w:pPr>
        <w:pStyle w:val="Heading2"/>
        <w:widowControl/>
      </w:pPr>
      <w:r>
        <w:t>Automated test layers</w:t>
      </w:r>
    </w:p>
    <w:p>
      <w:pPr>
        <w:pStyle w:val="ListBullet"/>
        <w:widowControl/>
        <w:spacing w:after="26"/>
        <w:ind w:left="288"/>
      </w:pPr>
      <w:r>
        <w:t>Unit tests for calculations, validation, permission helpers and tenant-scoping services.</w:t>
      </w:r>
    </w:p>
    <w:p>
      <w:pPr>
        <w:pStyle w:val="ListBullet"/>
        <w:widowControl/>
        <w:spacing w:after="26"/>
        <w:ind w:left="288"/>
      </w:pPr>
      <w:r>
        <w:t>API integration tests for create/read/update flows and role permissions.</w:t>
      </w:r>
    </w:p>
    <w:p>
      <w:pPr>
        <w:pStyle w:val="ListBullet"/>
        <w:widowControl/>
        <w:spacing w:after="26"/>
        <w:ind w:left="288"/>
      </w:pPr>
      <w:r>
        <w:t>Cross-tenant security tests using at least two institutes.</w:t>
      </w:r>
    </w:p>
    <w:p>
      <w:pPr>
        <w:pStyle w:val="ListBullet"/>
        <w:widowControl/>
        <w:spacing w:after="26"/>
        <w:ind w:left="288"/>
      </w:pPr>
      <w:r>
        <w:t>Workflow tests covering attendance, fees, exams/results, announcements and account lifecycle.</w:t>
      </w:r>
    </w:p>
    <w:p>
      <w:pPr>
        <w:pStyle w:val="ListBullet"/>
        <w:widowControl/>
        <w:spacing w:after="26"/>
        <w:ind w:left="288"/>
      </w:pPr>
      <w:r>
        <w:t>Frontend component/page tests for critical role gating and forms where practical.</w:t>
      </w:r>
    </w:p>
    <w:p>
      <w:pPr>
        <w:pStyle w:val="ListBullet"/>
        <w:widowControl/>
        <w:spacing w:after="26"/>
        <w:ind w:left="288"/>
      </w:pPr>
      <w:r>
        <w:t>End-to-end smoke tests for each role on a deployed staging environment.</w:t>
      </w:r>
    </w:p>
    <w:p>
      <w:pPr>
        <w:pStyle w:val="Heading2"/>
        <w:widowControl/>
      </w:pPr>
      <w:r>
        <w:t>Highest-priority security tests</w:t>
      </w:r>
    </w:p>
    <w:p>
      <w:pPr>
        <w:widowControl/>
        <w:spacing w:after="40"/>
        <w:ind w:left="173" w:hanging="173"/>
      </w:pPr>
      <w:r>
        <w:rPr>
          <w:b/>
          <w:color w:val="1677FF"/>
        </w:rPr>
        <w:t xml:space="preserve">1. </w:t>
      </w:r>
      <w:r>
        <w:t>Success Academy Admin cannot read/update Bright Classes data by guessed IDs.</w:t>
      </w:r>
    </w:p>
    <w:p>
      <w:pPr>
        <w:widowControl/>
        <w:spacing w:after="40"/>
        <w:ind w:left="173" w:hanging="173"/>
      </w:pPr>
      <w:r>
        <w:rPr>
          <w:b/>
          <w:color w:val="1677FF"/>
        </w:rPr>
        <w:t xml:space="preserve">2. </w:t>
      </w:r>
      <w:r>
        <w:t>Teacher cannot access unassigned batch/student/exam/material endpoints.</w:t>
      </w:r>
    </w:p>
    <w:p>
      <w:pPr>
        <w:widowControl/>
        <w:spacing w:after="40"/>
        <w:ind w:left="173" w:hanging="173"/>
      </w:pPr>
      <w:r>
        <w:rPr>
          <w:b/>
          <w:color w:val="1677FF"/>
        </w:rPr>
        <w:t xml:space="preserve">3. </w:t>
      </w:r>
      <w:r>
        <w:t>Student cannot access another student’s attendance, fees or result.</w:t>
      </w:r>
    </w:p>
    <w:p>
      <w:pPr>
        <w:widowControl/>
        <w:spacing w:after="40"/>
        <w:ind w:left="173" w:hanging="173"/>
      </w:pPr>
      <w:r>
        <w:rPr>
          <w:b/>
          <w:color w:val="1677FF"/>
        </w:rPr>
        <w:t xml:space="preserve">4. </w:t>
      </w:r>
      <w:r>
        <w:t>Parent cannot access an unlinked child.</w:t>
      </w:r>
    </w:p>
    <w:p>
      <w:pPr>
        <w:widowControl/>
        <w:spacing w:after="40"/>
        <w:ind w:left="173" w:hanging="173"/>
      </w:pPr>
      <w:r>
        <w:rPr>
          <w:b/>
          <w:color w:val="1677FF"/>
        </w:rPr>
        <w:t xml:space="preserve">5. </w:t>
      </w:r>
      <w:r>
        <w:t>Disabled user cannot log in or refresh an authenticated session.</w:t>
      </w:r>
    </w:p>
    <w:p>
      <w:pPr>
        <w:widowControl/>
        <w:spacing w:after="40"/>
        <w:ind w:left="173" w:hanging="173"/>
      </w:pPr>
      <w:r>
        <w:rPr>
          <w:b/>
          <w:color w:val="1677FF"/>
        </w:rPr>
        <w:t xml:space="preserve">6. </w:t>
      </w:r>
      <w:r>
        <w:t>Deactivated institute blocks all institute users while Super Admin remains available.</w:t>
      </w:r>
    </w:p>
    <w:p>
      <w:pPr>
        <w:widowControl/>
        <w:spacing w:after="40"/>
        <w:ind w:left="173" w:hanging="173"/>
      </w:pPr>
      <w:r>
        <w:rPr>
          <w:b/>
          <w:color w:val="1677FF"/>
        </w:rPr>
        <w:t xml:space="preserve">7. </w:t>
      </w:r>
      <w:r>
        <w:t>Student/Parent cannot see unpublished results.</w:t>
      </w:r>
    </w:p>
    <w:p>
      <w:pPr>
        <w:widowControl/>
        <w:spacing w:after="40"/>
        <w:ind w:left="173" w:hanging="173"/>
      </w:pPr>
      <w:r>
        <w:rPr>
          <w:b/>
          <w:color w:val="1677FF"/>
        </w:rPr>
        <w:t xml:space="preserve">8. </w:t>
      </w:r>
      <w:r>
        <w:t>Private file downloads enforce the same access rules as the corresponding record.</w:t>
      </w:r>
    </w:p>
    <w:p>
      <w:pPr>
        <w:pStyle w:val="Heading2"/>
        <w:widowControl/>
      </w:pPr>
      <w:r>
        <w:t>Demo/seed data</w:t>
      </w:r>
    </w:p>
    <w:p>
      <w:pPr>
        <w:pStyle w:val="ListBullet"/>
        <w:widowControl/>
        <w:spacing w:after="26"/>
        <w:ind w:left="288"/>
      </w:pPr>
      <w:r>
        <w:t>Institute A: Success Academy with Admin, 2 Teachers, several Students/Parents, 2+ Batches and sample data.</w:t>
      </w:r>
    </w:p>
    <w:p>
      <w:pPr>
        <w:pStyle w:val="ListBullet"/>
        <w:widowControl/>
        <w:spacing w:after="26"/>
        <w:ind w:left="288"/>
      </w:pPr>
      <w:r>
        <w:t>Institute B: Bright Classes with independent users/data for isolation tests.</w:t>
      </w:r>
    </w:p>
    <w:p>
      <w:pPr>
        <w:pStyle w:val="ListBullet"/>
        <w:widowControl/>
        <w:spacing w:after="26"/>
        <w:ind w:left="288"/>
      </w:pPr>
      <w:r>
        <w:t>Include examples of active/inactive users, pending/paid fees, attendance states, upcoming/completed exams, published/unpublished results and announcements.</w:t>
      </w:r>
    </w:p>
    <w:p>
      <w:pPr>
        <w:widowControl/>
      </w:pPr>
      <w:r>
        <w:br w:type="page"/>
      </w:r>
    </w:p>
    <w:p>
      <w:pPr>
        <w:pStyle w:val="Heading1"/>
        <w:widowControl/>
      </w:pPr>
      <w:r>
        <w:t>23. Development Execution Plan — One Full Build</w:t>
      </w:r>
    </w:p>
    <w:tbl>
      <w:tblPr>
        <w:tblW w:type="auto" w:w="0"/>
        <w:jc w:val="center"/>
        <w:tblLook w:firstColumn="1" w:firstRow="1" w:lastColumn="0" w:lastRow="0" w:noHBand="0" w:noVBand="1" w:val="04A0"/>
      </w:tblPr>
      <w:tblGrid>
        <w:gridCol w:w="10282"/>
      </w:tblGrid>
      <w:tr>
        <w:tc>
          <w:tcPr>
            <w:tcW w:type="dxa" w:w="10282"/>
            <w:shd w:fill="ECFDF5"/>
            <w:vAlign w:val="center"/>
          </w:tcPr>
          <w:p>
            <w:pPr>
              <w:spacing w:after="40"/>
            </w:pPr>
            <w:r>
              <w:rPr>
                <w:b/>
                <w:color w:val="16A34A"/>
                <w:sz w:val="20"/>
              </w:rPr>
              <w:t>User-approved approach</w:t>
            </w:r>
          </w:p>
          <w:p>
            <w:pPr>
              <w:pStyle w:val="SpecNote"/>
              <w:spacing w:after="80"/>
            </w:pPr>
            <w:r>
              <w:t>Treat delivery as one complete V1 build rather than eight separate public releases. Internally, implement in a safe dependency order and keep modules isolated so defects can be fixed without destabilizing the entire system.</w:t>
            </w:r>
          </w:p>
        </w:tc>
      </w:tr>
    </w:tbl>
    <w:p>
      <w:pPr>
        <w:widowControl/>
        <w:spacing w:after="0"/>
      </w:pPr>
    </w:p>
    <w:p>
      <w:pPr>
        <w:widowControl/>
        <w:spacing w:after="40"/>
        <w:ind w:left="173" w:hanging="173"/>
      </w:pPr>
      <w:r>
        <w:rPr>
          <w:b/>
          <w:color w:val="1677FF"/>
        </w:rPr>
        <w:t xml:space="preserve">1. </w:t>
      </w:r>
      <w:r>
        <w:t>Repository foundation: frontend/backend folders, environment configuration, linting/formatting, CI basics and PostgreSQL connection.</w:t>
      </w:r>
    </w:p>
    <w:p>
      <w:pPr>
        <w:widowControl/>
        <w:spacing w:after="40"/>
        <w:ind w:left="173" w:hanging="173"/>
      </w:pPr>
      <w:r>
        <w:rPr>
          <w:b/>
          <w:color w:val="1677FF"/>
        </w:rPr>
        <w:t xml:space="preserve">2. </w:t>
      </w:r>
      <w:r>
        <w:t>Institute/tenant foundation: Institute, domains/branding, Super Admin institute creation and tenant resolution.</w:t>
      </w:r>
    </w:p>
    <w:p>
      <w:pPr>
        <w:widowControl/>
        <w:spacing w:after="40"/>
        <w:ind w:left="173" w:hanging="173"/>
      </w:pPr>
      <w:r>
        <w:rPr>
          <w:b/>
          <w:color w:val="1677FF"/>
        </w:rPr>
        <w:t xml:space="preserve">3. </w:t>
      </w:r>
      <w:r>
        <w:t>Authentication/access: User, roles, profiles, invitations/first login, password/reset, status, role routing and permission framework.</w:t>
      </w:r>
    </w:p>
    <w:p>
      <w:pPr>
        <w:widowControl/>
        <w:spacing w:after="40"/>
        <w:ind w:left="173" w:hanging="173"/>
      </w:pPr>
      <w:r>
        <w:rPr>
          <w:b/>
          <w:color w:val="1677FF"/>
        </w:rPr>
        <w:t xml:space="preserve">4. </w:t>
      </w:r>
      <w:r>
        <w:t>Academic structure: academic year, subjects, batches, enrollment, teacher assignments and parent-child links.</w:t>
      </w:r>
    </w:p>
    <w:p>
      <w:pPr>
        <w:widowControl/>
        <w:spacing w:after="40"/>
        <w:ind w:left="173" w:hanging="173"/>
      </w:pPr>
      <w:r>
        <w:rPr>
          <w:b/>
          <w:color w:val="1677FF"/>
        </w:rPr>
        <w:t xml:space="preserve">5. </w:t>
      </w:r>
      <w:r>
        <w:t>Admin/Teacher/Student/Parent base layouts and shared design system.</w:t>
      </w:r>
    </w:p>
    <w:p>
      <w:pPr>
        <w:widowControl/>
        <w:spacing w:after="40"/>
        <w:ind w:left="173" w:hanging="173"/>
      </w:pPr>
      <w:r>
        <w:rPr>
          <w:b/>
          <w:color w:val="1677FF"/>
        </w:rPr>
        <w:t xml:space="preserve">6. </w:t>
      </w:r>
      <w:r>
        <w:t>Timetable and Dashboard aggregates.</w:t>
      </w:r>
    </w:p>
    <w:p>
      <w:pPr>
        <w:widowControl/>
        <w:spacing w:after="40"/>
        <w:ind w:left="173" w:hanging="173"/>
      </w:pPr>
      <w:r>
        <w:rPr>
          <w:b/>
          <w:color w:val="1677FF"/>
        </w:rPr>
        <w:t xml:space="preserve">7. </w:t>
      </w:r>
      <w:r>
        <w:t>Attendance workflows and role views.</w:t>
      </w:r>
    </w:p>
    <w:p>
      <w:pPr>
        <w:widowControl/>
        <w:spacing w:after="40"/>
        <w:ind w:left="173" w:hanging="173"/>
      </w:pPr>
      <w:r>
        <w:rPr>
          <w:b/>
          <w:color w:val="1677FF"/>
        </w:rPr>
        <w:t xml:space="preserve">8. </w:t>
      </w:r>
      <w:r>
        <w:t>Fees/payments/receipts and role views.</w:t>
      </w:r>
    </w:p>
    <w:p>
      <w:pPr>
        <w:widowControl/>
        <w:spacing w:after="40"/>
        <w:ind w:left="173" w:hanging="173"/>
      </w:pPr>
      <w:r>
        <w:rPr>
          <w:b/>
          <w:color w:val="1677FF"/>
        </w:rPr>
        <w:t xml:space="preserve">9. </w:t>
      </w:r>
      <w:r>
        <w:t>Notes &amp; Materials with object storage and authorization.</w:t>
      </w:r>
    </w:p>
    <w:p>
      <w:pPr>
        <w:widowControl/>
        <w:spacing w:after="40"/>
        <w:ind w:left="173" w:hanging="173"/>
      </w:pPr>
      <w:r>
        <w:rPr>
          <w:b/>
          <w:color w:val="1677FF"/>
        </w:rPr>
        <w:t xml:space="preserve">10. </w:t>
      </w:r>
      <w:r>
        <w:t>Exams, marks entry, result publication and report-card output.</w:t>
      </w:r>
    </w:p>
    <w:p>
      <w:pPr>
        <w:widowControl/>
        <w:spacing w:after="40"/>
        <w:ind w:left="173" w:hanging="173"/>
      </w:pPr>
      <w:r>
        <w:rPr>
          <w:b/>
          <w:color w:val="1677FF"/>
        </w:rPr>
        <w:t xml:space="preserve">11. </w:t>
      </w:r>
      <w:r>
        <w:t>Announcements + in-app/web-push notification events.</w:t>
      </w:r>
    </w:p>
    <w:p>
      <w:pPr>
        <w:widowControl/>
        <w:spacing w:after="40"/>
        <w:ind w:left="173" w:hanging="173"/>
      </w:pPr>
      <w:r>
        <w:rPr>
          <w:b/>
          <w:color w:val="1677FF"/>
        </w:rPr>
        <w:t xml:space="preserve">12. </w:t>
      </w:r>
      <w:r>
        <w:t>Settings, branding/domain configuration, subscriptions/usage/support controls.</w:t>
      </w:r>
    </w:p>
    <w:p>
      <w:pPr>
        <w:widowControl/>
        <w:spacing w:after="40"/>
        <w:ind w:left="173" w:hanging="173"/>
      </w:pPr>
      <w:r>
        <w:rPr>
          <w:b/>
          <w:color w:val="1677FF"/>
        </w:rPr>
        <w:t xml:space="preserve">13. </w:t>
      </w:r>
      <w:r>
        <w:t>PWA/mobile refinement, accessibility and error/empty/loading states.</w:t>
      </w:r>
    </w:p>
    <w:p>
      <w:pPr>
        <w:widowControl/>
        <w:spacing w:after="40"/>
        <w:ind w:left="173" w:hanging="173"/>
      </w:pPr>
      <w:r>
        <w:rPr>
          <w:b/>
          <w:color w:val="1677FF"/>
        </w:rPr>
        <w:t xml:space="preserve">14. </w:t>
      </w:r>
      <w:r>
        <w:t>Full automated test suite, two-institute isolation testing, seed/demo data and staging QA.</w:t>
      </w:r>
    </w:p>
    <w:p>
      <w:pPr>
        <w:widowControl/>
        <w:spacing w:after="40"/>
        <w:ind w:left="173" w:hanging="173"/>
      </w:pPr>
      <w:r>
        <w:rPr>
          <w:b/>
          <w:color w:val="1677FF"/>
        </w:rPr>
        <w:t xml:space="preserve">15. </w:t>
      </w:r>
      <w:r>
        <w:t>Production deployment, domain/HTTPS configuration, backups, monitoring and final acceptance test.</w:t>
      </w:r>
    </w:p>
    <w:p>
      <w:pPr>
        <w:pStyle w:val="Heading2"/>
        <w:widowControl/>
      </w:pPr>
      <w:r>
        <w:t>Coding-agent rule</w:t>
      </w:r>
    </w:p>
    <w:tbl>
      <w:tblPr>
        <w:tblW w:type="auto" w:w="0"/>
        <w:jc w:val="center"/>
        <w:tblLook w:firstColumn="1" w:firstRow="1" w:lastColumn="0" w:lastRow="0" w:noHBand="0" w:noVBand="1" w:val="04A0"/>
      </w:tblPr>
      <w:tblGrid>
        <w:gridCol w:w="10282"/>
      </w:tblGrid>
      <w:tr>
        <w:tc>
          <w:tcPr>
            <w:tcW w:type="dxa" w:w="10282"/>
            <w:shd w:fill="FFF7ED"/>
            <w:vAlign w:val="center"/>
          </w:tcPr>
          <w:p>
            <w:pPr>
              <w:spacing w:after="40"/>
            </w:pPr>
            <w:r>
              <w:rPr>
                <w:b/>
                <w:color w:val="D97706"/>
                <w:sz w:val="20"/>
              </w:rPr>
              <w:t>Do not build blindly in one giant unreviewed commit</w:t>
            </w:r>
          </w:p>
          <w:p>
            <w:pPr>
              <w:pStyle w:val="SpecNote"/>
              <w:spacing w:after="80"/>
            </w:pPr>
            <w:r>
              <w:t>A coding agent may work continuously on the full system, but it must keep logical commits/checkpoints, run tests after each module boundary, preserve migrations, and stop expanding scope beyond this specification.</w:t>
            </w:r>
          </w:p>
        </w:tc>
      </w:tr>
    </w:tbl>
    <w:p>
      <w:pPr>
        <w:widowControl/>
        <w:spacing w:after="0"/>
      </w:pPr>
    </w:p>
    <w:p>
      <w:pPr>
        <w:widowControl/>
      </w:pPr>
      <w:r>
        <w:br w:type="page"/>
      </w:r>
    </w:p>
    <w:p>
      <w:pPr>
        <w:pStyle w:val="Heading1"/>
        <w:widowControl/>
      </w:pPr>
      <w:r>
        <w:t>24. Recommended Repository &amp; Code Organization</w:t>
      </w:r>
    </w:p>
    <w:tbl>
      <w:tblPr>
        <w:tblStyle w:val="TableGrid"/>
        <w:tblW w:type="auto" w:w="0"/>
        <w:jc w:val="center"/>
        <w:tblLook w:firstColumn="1" w:firstRow="1" w:lastColumn="0" w:lastRow="0" w:noHBand="0" w:noVBand="1" w:val="04A0"/>
      </w:tblPr>
      <w:tblGrid>
        <w:gridCol w:w="10282"/>
      </w:tblGrid>
      <w:tr>
        <w:tc>
          <w:tcPr>
            <w:tcW w:type="dxa" w:w="10282"/>
            <w:shd w:fill="F8FAFC"/>
          </w:tcPr>
          <w:p>
            <w:pPr>
              <w:pStyle w:val="Codeish"/>
              <w:spacing w:after="0"/>
            </w:pPr>
            <w:r/>
            <w:r>
              <w:t>growthsathi-class-system/</w:t>
            </w:r>
          </w:p>
          <w:p>
            <w:pPr>
              <w:pStyle w:val="Codeish"/>
              <w:spacing w:after="0"/>
            </w:pPr>
            <w:r>
              <w:t xml:space="preserve">  frontend/                 # Next.js + TypeScript</w:t>
            </w:r>
          </w:p>
          <w:p>
            <w:pPr>
              <w:pStyle w:val="Codeish"/>
              <w:spacing w:after="0"/>
            </w:pPr>
            <w:r>
              <w:t xml:space="preserve">    app/ or src/</w:t>
            </w:r>
          </w:p>
          <w:p>
            <w:pPr>
              <w:pStyle w:val="Codeish"/>
              <w:spacing w:after="0"/>
            </w:pPr>
            <w:r>
              <w:t xml:space="preserve">    components/</w:t>
            </w:r>
          </w:p>
          <w:p>
            <w:pPr>
              <w:pStyle w:val="Codeish"/>
              <w:spacing w:after="0"/>
            </w:pPr>
            <w:r>
              <w:t xml:space="preserve">    features/</w:t>
            </w:r>
          </w:p>
          <w:p>
            <w:pPr>
              <w:pStyle w:val="Codeish"/>
              <w:spacing w:after="0"/>
            </w:pPr>
            <w:r>
              <w:t xml:space="preserve">    lib/api/</w:t>
            </w:r>
          </w:p>
          <w:p>
            <w:pPr>
              <w:pStyle w:val="Codeish"/>
              <w:spacing w:after="0"/>
            </w:pPr>
            <w:r>
              <w:t xml:space="preserve">    lib/auth/</w:t>
            </w:r>
          </w:p>
          <w:p>
            <w:pPr>
              <w:pStyle w:val="Codeish"/>
              <w:spacing w:after="0"/>
            </w:pPr>
            <w:r>
              <w:t xml:space="preserve">    styles/</w:t>
            </w:r>
          </w:p>
          <w:p>
            <w:pPr>
              <w:pStyle w:val="Codeish"/>
              <w:spacing w:after="0"/>
            </w:pPr>
            <w:r>
              <w:t xml:space="preserve">  backend/                  # Django + DRF</w:t>
            </w:r>
          </w:p>
          <w:p>
            <w:pPr>
              <w:pStyle w:val="Codeish"/>
              <w:spacing w:after="0"/>
            </w:pPr>
            <w:r>
              <w:t xml:space="preserve">    config/</w:t>
            </w:r>
          </w:p>
          <w:p>
            <w:pPr>
              <w:pStyle w:val="Codeish"/>
              <w:spacing w:after="0"/>
            </w:pPr>
            <w:r>
              <w:t xml:space="preserve">    institutes/</w:t>
            </w:r>
          </w:p>
          <w:p>
            <w:pPr>
              <w:pStyle w:val="Codeish"/>
              <w:spacing w:after="0"/>
            </w:pPr>
            <w:r>
              <w:t xml:space="preserve">    accounts/</w:t>
            </w:r>
          </w:p>
          <w:p>
            <w:pPr>
              <w:pStyle w:val="Codeish"/>
              <w:spacing w:after="0"/>
            </w:pPr>
            <w:r>
              <w:t xml:space="preserve">    academics/</w:t>
            </w:r>
          </w:p>
          <w:p>
            <w:pPr>
              <w:pStyle w:val="Codeish"/>
              <w:spacing w:after="0"/>
            </w:pPr>
            <w:r>
              <w:t xml:space="preserve">    timetable/</w:t>
            </w:r>
          </w:p>
          <w:p>
            <w:pPr>
              <w:pStyle w:val="Codeish"/>
              <w:spacing w:after="0"/>
            </w:pPr>
            <w:r>
              <w:t xml:space="preserve">    attendance/</w:t>
            </w:r>
          </w:p>
          <w:p>
            <w:pPr>
              <w:pStyle w:val="Codeish"/>
              <w:spacing w:after="0"/>
            </w:pPr>
            <w:r>
              <w:t xml:space="preserve">    fees/</w:t>
            </w:r>
          </w:p>
          <w:p>
            <w:pPr>
              <w:pStyle w:val="Codeish"/>
              <w:spacing w:after="0"/>
            </w:pPr>
            <w:r>
              <w:t xml:space="preserve">    materials/</w:t>
            </w:r>
          </w:p>
          <w:p>
            <w:pPr>
              <w:pStyle w:val="Codeish"/>
              <w:spacing w:after="0"/>
            </w:pPr>
            <w:r>
              <w:t xml:space="preserve">    exams/</w:t>
            </w:r>
          </w:p>
          <w:p>
            <w:pPr>
              <w:pStyle w:val="Codeish"/>
              <w:spacing w:after="0"/>
            </w:pPr>
            <w:r>
              <w:t xml:space="preserve">    announcements/</w:t>
            </w:r>
          </w:p>
          <w:p>
            <w:pPr>
              <w:pStyle w:val="Codeish"/>
              <w:spacing w:after="0"/>
            </w:pPr>
            <w:r>
              <w:t xml:space="preserve">    notifications/</w:t>
            </w:r>
          </w:p>
          <w:p>
            <w:pPr>
              <w:pStyle w:val="Codeish"/>
              <w:spacing w:after="0"/>
            </w:pPr>
            <w:r>
              <w:t xml:space="preserve">    subscriptions/</w:t>
            </w:r>
          </w:p>
          <w:p>
            <w:pPr>
              <w:pStyle w:val="Codeish"/>
              <w:spacing w:after="0"/>
            </w:pPr>
            <w:r>
              <w:t xml:space="preserve">    audit/</w:t>
            </w:r>
          </w:p>
          <w:p>
            <w:pPr>
              <w:pStyle w:val="Codeish"/>
              <w:spacing w:after="0"/>
            </w:pPr>
            <w:r>
              <w:t xml:space="preserve">  docs/</w:t>
            </w:r>
          </w:p>
          <w:p>
            <w:pPr>
              <w:pStyle w:val="Codeish"/>
              <w:spacing w:after="0"/>
            </w:pPr>
            <w:r>
              <w:t xml:space="preserve">  .env.example</w:t>
            </w:r>
          </w:p>
          <w:p>
            <w:pPr>
              <w:pStyle w:val="Codeish"/>
              <w:spacing w:after="0"/>
            </w:pPr>
            <w:r>
              <w:t xml:space="preserve">  README.md</w:t>
            </w:r>
          </w:p>
        </w:tc>
      </w:tr>
    </w:tbl>
    <w:p>
      <w:pPr>
        <w:widowControl/>
        <w:spacing w:after="0"/>
      </w:pPr>
    </w:p>
    <w:p>
      <w:pPr>
        <w:pStyle w:val="Heading2"/>
        <w:widowControl/>
      </w:pPr>
      <w:r>
        <w:t>Backend organization rules</w:t>
      </w:r>
    </w:p>
    <w:p>
      <w:pPr>
        <w:pStyle w:val="ListBullet"/>
        <w:widowControl/>
        <w:spacing w:after="26"/>
        <w:ind w:left="288"/>
      </w:pPr>
      <w:r>
        <w:t>Keep models, serializers, views/endpoints, permissions, services and tests in coherent domain apps.</w:t>
      </w:r>
    </w:p>
    <w:p>
      <w:pPr>
        <w:pStyle w:val="ListBullet"/>
        <w:widowControl/>
        <w:spacing w:after="26"/>
        <w:ind w:left="288"/>
      </w:pPr>
      <w:r>
        <w:t>Centralize institute scoping and role/scope permission helpers; do not copy-paste ad hoc filters everywhere.</w:t>
      </w:r>
    </w:p>
    <w:p>
      <w:pPr>
        <w:pStyle w:val="ListBullet"/>
        <w:widowControl/>
        <w:spacing w:after="26"/>
        <w:ind w:left="288"/>
      </w:pPr>
      <w:r>
        <w:t>Use database transactions for multi-record critical operations such as payment + receipt or result publication changes.</w:t>
      </w:r>
    </w:p>
    <w:p>
      <w:pPr>
        <w:pStyle w:val="ListBullet"/>
        <w:widowControl/>
        <w:spacing w:after="26"/>
        <w:ind w:left="288"/>
      </w:pPr>
      <w:r>
        <w:t>Migrations are append-only history in normal development; do not repeatedly delete/rewrite migrations after shared work begins.</w:t>
      </w:r>
    </w:p>
    <w:p>
      <w:pPr>
        <w:pStyle w:val="Heading2"/>
        <w:widowControl/>
      </w:pPr>
      <w:r>
        <w:t>Frontend organization rules</w:t>
      </w:r>
    </w:p>
    <w:p>
      <w:pPr>
        <w:pStyle w:val="ListBullet"/>
        <w:widowControl/>
        <w:spacing w:after="26"/>
        <w:ind w:left="288"/>
      </w:pPr>
      <w:r>
        <w:t>Use shared components for cards, tables, filters, forms, badges, dialogs and page states.</w:t>
      </w:r>
    </w:p>
    <w:p>
      <w:pPr>
        <w:pStyle w:val="ListBullet"/>
        <w:widowControl/>
        <w:spacing w:after="26"/>
        <w:ind w:left="288"/>
      </w:pPr>
      <w:r>
        <w:t>Use role-aware navigation configuration rather than four unrelated hard-coded shells.</w:t>
      </w:r>
    </w:p>
    <w:p>
      <w:pPr>
        <w:pStyle w:val="ListBullet"/>
        <w:widowControl/>
        <w:spacing w:after="26"/>
        <w:ind w:left="288"/>
      </w:pPr>
      <w:r>
        <w:t>Use one authenticated API client that handles refresh/session errors and consistent error mapping.</w:t>
      </w:r>
    </w:p>
    <w:p>
      <w:pPr>
        <w:pStyle w:val="ListBullet"/>
        <w:widowControl/>
        <w:spacing w:after="26"/>
        <w:ind w:left="288"/>
      </w:pPr>
      <w:r>
        <w:t>Keep feature business state near its domain instead of one giant global store.</w:t>
      </w:r>
    </w:p>
    <w:p>
      <w:pPr>
        <w:widowControl/>
      </w:pPr>
      <w:r>
        <w:br w:type="page"/>
      </w:r>
    </w:p>
    <w:p>
      <w:pPr>
        <w:pStyle w:val="Heading1"/>
        <w:widowControl/>
      </w:pPr>
      <w:r>
        <w:t>25. Deployment &amp; Environments</w:t>
      </w:r>
    </w:p>
    <w:p>
      <w:pPr>
        <w:pStyle w:val="Heading2"/>
        <w:widowControl/>
      </w:pPr>
      <w:r>
        <w:t>Required environments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2016"/>
            <w:shd w:fill="13253A"/>
          </w:tcPr>
          <w:p>
            <w:pPr>
              <w:spacing w:after="0"/>
            </w:pPr>
            <w:r>
              <w:rPr>
                <w:b/>
                <w:color w:val="FFFFFF"/>
                <w:sz w:val="15"/>
              </w:rPr>
              <w:t>Environment</w:t>
            </w:r>
          </w:p>
        </w:tc>
        <w:tc>
          <w:tcPr>
            <w:tcW w:type="dxa" w:w="8352"/>
            <w:shd w:fill="13253A"/>
          </w:tcPr>
          <w:p>
            <w:pPr>
              <w:spacing w:after="0"/>
            </w:pPr>
            <w:r>
              <w:rPr>
                <w:b/>
                <w:color w:val="FFFFFF"/>
                <w:sz w:val="15"/>
              </w:rPr>
              <w:t>Purpose</w:t>
            </w:r>
          </w:p>
        </w:tc>
      </w:tr>
      <w:tr>
        <w:tc>
          <w:tcPr>
            <w:tcW w:type="dxa" w:w="2016"/>
            <w:vAlign w:val="top"/>
          </w:tcPr>
          <w:p>
            <w:pPr>
              <w:spacing w:after="0"/>
            </w:pPr>
            <w:r>
              <w:rPr>
                <w:sz w:val="15"/>
              </w:rPr>
              <w:t>Local</w:t>
            </w:r>
          </w:p>
        </w:tc>
        <w:tc>
          <w:tcPr>
            <w:tcW w:type="dxa" w:w="8352"/>
            <w:vAlign w:val="top"/>
          </w:tcPr>
          <w:p>
            <w:pPr>
              <w:spacing w:after="0"/>
            </w:pPr>
            <w:r>
              <w:rPr>
                <w:sz w:val="15"/>
              </w:rPr>
              <w:t>Developer work with local PostgreSQL or safe development database</w:t>
            </w:r>
          </w:p>
        </w:tc>
      </w:tr>
      <w:tr>
        <w:tc>
          <w:tcPr>
            <w:tcW w:type="dxa" w:w="2016"/>
            <w:vAlign w:val="top"/>
            <w:shd w:fill="F8FAFC"/>
          </w:tcPr>
          <w:p>
            <w:pPr>
              <w:spacing w:after="0"/>
            </w:pPr>
            <w:r>
              <w:rPr>
                <w:sz w:val="15"/>
              </w:rPr>
              <w:t>Staging</w:t>
            </w:r>
          </w:p>
        </w:tc>
        <w:tc>
          <w:tcPr>
            <w:tcW w:type="dxa" w:w="8352"/>
            <w:vAlign w:val="top"/>
            <w:shd w:fill="F8FAFC"/>
          </w:tcPr>
          <w:p>
            <w:pPr>
              <w:spacing w:after="0"/>
            </w:pPr>
            <w:r>
              <w:rPr>
                <w:sz w:val="15"/>
              </w:rPr>
              <w:t>Production-like testing, seeded institutes and acceptance testing</w:t>
            </w:r>
          </w:p>
        </w:tc>
      </w:tr>
      <w:tr>
        <w:tc>
          <w:tcPr>
            <w:tcW w:type="dxa" w:w="2016"/>
            <w:vAlign w:val="top"/>
          </w:tcPr>
          <w:p>
            <w:pPr>
              <w:spacing w:after="0"/>
            </w:pPr>
            <w:r>
              <w:rPr>
                <w:sz w:val="15"/>
              </w:rPr>
              <w:t>Production</w:t>
            </w:r>
          </w:p>
        </w:tc>
        <w:tc>
          <w:tcPr>
            <w:tcW w:type="dxa" w:w="8352"/>
            <w:vAlign w:val="top"/>
          </w:tcPr>
          <w:p>
            <w:pPr>
              <w:spacing w:after="0"/>
            </w:pPr>
            <w:r>
              <w:rPr>
                <w:sz w:val="15"/>
              </w:rPr>
              <w:t>Real institutes/users; strict secrets, HTTPS, backups and monitoring</w:t>
            </w:r>
          </w:p>
        </w:tc>
      </w:tr>
    </w:tbl>
    <w:p>
      <w:pPr>
        <w:widowControl/>
        <w:spacing w:after="20"/>
      </w:pPr>
    </w:p>
    <w:p>
      <w:pPr>
        <w:pStyle w:val="Heading2"/>
        <w:widowControl/>
      </w:pPr>
      <w:r>
        <w:t>Production components</w:t>
      </w:r>
    </w:p>
    <w:p>
      <w:pPr>
        <w:pStyle w:val="ListBullet"/>
        <w:widowControl/>
        <w:spacing w:after="26"/>
        <w:ind w:left="288"/>
      </w:pPr>
      <w:r>
        <w:t>Frontend hosting/CDN for Next.js.</w:t>
      </w:r>
    </w:p>
    <w:p>
      <w:pPr>
        <w:pStyle w:val="ListBullet"/>
        <w:widowControl/>
        <w:spacing w:after="26"/>
        <w:ind w:left="288"/>
      </w:pPr>
      <w:r>
        <w:t>Django API hosting with persistent production configuration.</w:t>
      </w:r>
    </w:p>
    <w:p>
      <w:pPr>
        <w:pStyle w:val="ListBullet"/>
        <w:widowControl/>
        <w:spacing w:after="26"/>
        <w:ind w:left="288"/>
      </w:pPr>
      <w:r>
        <w:t>Managed PostgreSQL with automated backups.</w:t>
      </w:r>
    </w:p>
    <w:p>
      <w:pPr>
        <w:pStyle w:val="ListBullet"/>
        <w:widowControl/>
        <w:spacing w:after="26"/>
        <w:ind w:left="288"/>
      </w:pPr>
      <w:r>
        <w:t>Object storage for uploads/generated files.</w:t>
      </w:r>
    </w:p>
    <w:p>
      <w:pPr>
        <w:pStyle w:val="ListBullet"/>
        <w:widowControl/>
        <w:spacing w:after="26"/>
        <w:ind w:left="288"/>
      </w:pPr>
      <w:r>
        <w:t>Domain/DNS and TLS/HTTPS for GrowthSathi subdomains and custom domains.</w:t>
      </w:r>
    </w:p>
    <w:p>
      <w:pPr>
        <w:pStyle w:val="ListBullet"/>
        <w:widowControl/>
        <w:spacing w:after="26"/>
        <w:ind w:left="288"/>
      </w:pPr>
      <w:r>
        <w:t>Email provider for activation/password reset if email login flow is enabled.</w:t>
      </w:r>
    </w:p>
    <w:p>
      <w:pPr>
        <w:pStyle w:val="ListBullet"/>
        <w:widowControl/>
        <w:spacing w:after="26"/>
        <w:ind w:left="288"/>
      </w:pPr>
      <w:r>
        <w:t>Error monitoring/logging service strongly recommended.</w:t>
      </w:r>
    </w:p>
    <w:p>
      <w:pPr>
        <w:pStyle w:val="ListBullet"/>
        <w:widowControl/>
        <w:spacing w:after="26"/>
        <w:ind w:left="288"/>
      </w:pPr>
      <w:r>
        <w:t>Push notification web service keys/configuration if web push is enabled.</w:t>
      </w:r>
    </w:p>
    <w:p>
      <w:pPr>
        <w:pStyle w:val="Heading2"/>
        <w:widowControl/>
      </w:pPr>
      <w:r>
        <w:t>Environment variables — categories</w:t>
      </w:r>
    </w:p>
    <w:p>
      <w:pPr>
        <w:pStyle w:val="ListBullet"/>
        <w:widowControl/>
        <w:spacing w:after="26"/>
        <w:ind w:left="288"/>
      </w:pPr>
      <w:r>
        <w:t>Database URL/credentials</w:t>
      </w:r>
    </w:p>
    <w:p>
      <w:pPr>
        <w:pStyle w:val="ListBullet"/>
        <w:widowControl/>
        <w:spacing w:after="26"/>
        <w:ind w:left="288"/>
      </w:pPr>
      <w:r>
        <w:t>Django secret/signing keys</w:t>
      </w:r>
    </w:p>
    <w:p>
      <w:pPr>
        <w:pStyle w:val="ListBullet"/>
        <w:widowControl/>
        <w:spacing w:after="26"/>
        <w:ind w:left="288"/>
      </w:pPr>
      <w:r>
        <w:t>Allowed hosts/CORS/CSRF trusted origins</w:t>
      </w:r>
    </w:p>
    <w:p>
      <w:pPr>
        <w:pStyle w:val="ListBullet"/>
        <w:widowControl/>
        <w:spacing w:after="26"/>
        <w:ind w:left="288"/>
      </w:pPr>
      <w:r>
        <w:t>Frontend API base URL</w:t>
      </w:r>
    </w:p>
    <w:p>
      <w:pPr>
        <w:pStyle w:val="ListBullet"/>
        <w:widowControl/>
        <w:spacing w:after="26"/>
        <w:ind w:left="288"/>
      </w:pPr>
      <w:r>
        <w:t>Object-storage endpoint/bucket/keys</w:t>
      </w:r>
    </w:p>
    <w:p>
      <w:pPr>
        <w:pStyle w:val="ListBullet"/>
        <w:widowControl/>
        <w:spacing w:after="26"/>
        <w:ind w:left="288"/>
      </w:pPr>
      <w:r>
        <w:t>Email provider credentials</w:t>
      </w:r>
    </w:p>
    <w:p>
      <w:pPr>
        <w:pStyle w:val="ListBullet"/>
        <w:widowControl/>
        <w:spacing w:after="26"/>
        <w:ind w:left="288"/>
      </w:pPr>
      <w:r>
        <w:t>Push notification public/private keys</w:t>
      </w:r>
    </w:p>
    <w:p>
      <w:pPr>
        <w:pStyle w:val="ListBullet"/>
        <w:widowControl/>
        <w:spacing w:after="26"/>
        <w:ind w:left="288"/>
      </w:pPr>
      <w:r>
        <w:t>Custom domain/base domain settings</w:t>
      </w:r>
    </w:p>
    <w:p>
      <w:pPr>
        <w:pStyle w:val="ListBullet"/>
        <w:widowControl/>
        <w:spacing w:after="26"/>
        <w:ind w:left="288"/>
      </w:pPr>
      <w:r>
        <w:t>Monitoring/error-reporting DSN</w:t>
      </w:r>
    </w:p>
    <w:p>
      <w:pPr>
        <w:pStyle w:val="ListBullet"/>
        <w:widowControl/>
        <w:spacing w:after="26"/>
        <w:ind w:left="288"/>
      </w:pPr>
      <w:r>
        <w:t>Any future payment/WhatsApp integration secrets</w:t>
      </w:r>
    </w:p>
    <w:tbl>
      <w:tblPr>
        <w:tblW w:type="auto" w:w="0"/>
        <w:jc w:val="center"/>
        <w:tblLook w:firstColumn="1" w:firstRow="1" w:lastColumn="0" w:lastRow="0" w:noHBand="0" w:noVBand="1" w:val="04A0"/>
      </w:tblPr>
      <w:tblGrid>
        <w:gridCol w:w="10282"/>
      </w:tblGrid>
      <w:tr>
        <w:tc>
          <w:tcPr>
            <w:tcW w:type="dxa" w:w="10282"/>
            <w:shd w:fill="FEE2E2"/>
            <w:vAlign w:val="center"/>
          </w:tcPr>
          <w:p>
            <w:pPr>
              <w:spacing w:after="40"/>
            </w:pPr>
            <w:r>
              <w:rPr>
                <w:b/>
                <w:color w:val="DC2626"/>
                <w:sz w:val="20"/>
              </w:rPr>
              <w:t>Secret handling</w:t>
            </w:r>
          </w:p>
          <w:p>
            <w:pPr>
              <w:pStyle w:val="SpecNote"/>
              <w:spacing w:after="80"/>
            </w:pPr>
            <w:r>
              <w:t>Commit only .env.example with placeholder names. Never commit production secrets, tokens, private keys or database passwords.</w:t>
            </w:r>
          </w:p>
        </w:tc>
      </w:tr>
    </w:tbl>
    <w:p>
      <w:pPr>
        <w:widowControl/>
        <w:spacing w:after="0"/>
      </w:pPr>
    </w:p>
    <w:p>
      <w:pPr>
        <w:widowControl/>
      </w:pPr>
      <w:r>
        <w:br w:type="page"/>
      </w:r>
    </w:p>
    <w:p>
      <w:pPr>
        <w:pStyle w:val="Heading1"/>
        <w:widowControl/>
      </w:pPr>
      <w:r>
        <w:t>26. Operations, Backups &amp; Support</w:t>
      </w:r>
    </w:p>
    <w:p>
      <w:pPr>
        <w:pStyle w:val="ListBullet"/>
        <w:widowControl/>
        <w:spacing w:after="26"/>
        <w:ind w:left="288"/>
      </w:pPr>
      <w:r>
        <w:t>Automated database backups must run on a defined schedule and be restorable.</w:t>
      </w:r>
    </w:p>
    <w:p>
      <w:pPr>
        <w:pStyle w:val="ListBullet"/>
        <w:widowControl/>
        <w:spacing w:after="26"/>
        <w:ind w:left="288"/>
      </w:pPr>
      <w:r>
        <w:t>Object-storage durability/versioning or backup strategy should be enabled for critical uploaded/generated files.</w:t>
      </w:r>
    </w:p>
    <w:p>
      <w:pPr>
        <w:pStyle w:val="ListBullet"/>
        <w:widowControl/>
        <w:spacing w:after="26"/>
        <w:ind w:left="288"/>
      </w:pPr>
      <w:r>
        <w:t>Backend errors should be captured with timestamps, request IDs and safe context without secrets.</w:t>
      </w:r>
    </w:p>
    <w:p>
      <w:pPr>
        <w:pStyle w:val="ListBullet"/>
        <w:widowControl/>
        <w:spacing w:after="26"/>
        <w:ind w:left="288"/>
      </w:pPr>
      <w:r>
        <w:t>Health endpoint should verify application process and optionally database connectivity without leaking details.</w:t>
      </w:r>
    </w:p>
    <w:p>
      <w:pPr>
        <w:pStyle w:val="ListBullet"/>
        <w:widowControl/>
        <w:spacing w:after="26"/>
        <w:ind w:left="288"/>
      </w:pPr>
      <w:r>
        <w:t>Super Admin Usage &amp; Support shows basic operational indicators, not raw infrastructure secrets.</w:t>
      </w:r>
    </w:p>
    <w:p>
      <w:pPr>
        <w:pStyle w:val="ListBullet"/>
        <w:widowControl/>
        <w:spacing w:after="26"/>
        <w:ind w:left="288"/>
      </w:pPr>
      <w:r>
        <w:t>Maintain a documented restore procedure before onboarding paying clients.</w:t>
      </w:r>
    </w:p>
    <w:p>
      <w:pPr>
        <w:pStyle w:val="ListBullet"/>
        <w:widowControl/>
        <w:spacing w:after="26"/>
        <w:ind w:left="288"/>
      </w:pPr>
      <w:r>
        <w:t>Track storage/student/user counts per institute for plan/usage controls.</w:t>
      </w:r>
    </w:p>
    <w:p>
      <w:pPr>
        <w:pStyle w:val="Heading2"/>
        <w:widowControl/>
      </w:pPr>
      <w:r>
        <w:t>Support actions allowed in V1</w:t>
      </w:r>
    </w:p>
    <w:p>
      <w:pPr>
        <w:pStyle w:val="ListBullet"/>
        <w:widowControl/>
        <w:spacing w:after="26"/>
        <w:ind w:left="288"/>
      </w:pPr>
      <w:r>
        <w:t>Reset/enable/disable institute Admin access</w:t>
      </w:r>
    </w:p>
    <w:p>
      <w:pPr>
        <w:pStyle w:val="ListBullet"/>
        <w:widowControl/>
        <w:spacing w:after="26"/>
        <w:ind w:left="288"/>
      </w:pPr>
      <w:r>
        <w:t>Inspect institute status, domain, plan and usage</w:t>
      </w:r>
    </w:p>
    <w:p>
      <w:pPr>
        <w:pStyle w:val="ListBullet"/>
        <w:widowControl/>
        <w:spacing w:after="26"/>
        <w:ind w:left="288"/>
      </w:pPr>
      <w:r>
        <w:t>Record support note/status</w:t>
      </w:r>
    </w:p>
    <w:p>
      <w:pPr>
        <w:pStyle w:val="ListBullet"/>
        <w:widowControl/>
        <w:spacing w:after="26"/>
        <w:ind w:left="288"/>
      </w:pPr>
      <w:r>
        <w:t>Review safe audit/error reference IDs</w:t>
      </w:r>
    </w:p>
    <w:p>
      <w:pPr>
        <w:pStyle w:val="ListBullet"/>
        <w:widowControl/>
        <w:spacing w:after="26"/>
        <w:ind w:left="288"/>
      </w:pPr>
      <w:r>
        <w:t>Increase configured plan limits where authorized</w:t>
      </w:r>
    </w:p>
    <w:p>
      <w:pPr>
        <w:widowControl/>
      </w:pPr>
      <w:r>
        <w:br w:type="page"/>
      </w:r>
    </w:p>
    <w:p>
      <w:pPr>
        <w:pStyle w:val="Heading1"/>
        <w:widowControl/>
      </w:pPr>
      <w:r>
        <w:t>27. Final V1 Acceptance Checklist</w:t>
      </w:r>
    </w:p>
    <w:p>
      <w:pPr>
        <w:widowControl/>
        <w:spacing w:after="26"/>
      </w:pPr>
      <w:r>
        <w:rPr>
          <w:rFonts w:ascii="Aptos" w:hAnsi="Aptos"/>
          <w:color w:val="1677FF"/>
          <w:sz w:val="20"/>
        </w:rPr>
        <w:t xml:space="preserve">☐ </w:t>
      </w:r>
      <w:r>
        <w:t>Super Admin can create Success Academy and Bright Classes as independent institutes.</w:t>
      </w:r>
    </w:p>
    <w:p>
      <w:pPr>
        <w:widowControl/>
        <w:spacing w:after="26"/>
      </w:pPr>
      <w:r>
        <w:rPr>
          <w:rFonts w:ascii="Aptos" w:hAnsi="Aptos"/>
          <w:color w:val="1677FF"/>
          <w:sz w:val="20"/>
        </w:rPr>
        <w:t xml:space="preserve">☐ </w:t>
      </w:r>
      <w:r>
        <w:t>Each institute resolves its own branding/domain and cannot access the other institute’s data.</w:t>
      </w:r>
    </w:p>
    <w:p>
      <w:pPr>
        <w:widowControl/>
        <w:spacing w:after="26"/>
      </w:pPr>
      <w:r>
        <w:rPr>
          <w:rFonts w:ascii="Aptos" w:hAnsi="Aptos"/>
          <w:color w:val="1677FF"/>
          <w:sz w:val="20"/>
        </w:rPr>
        <w:t xml:space="preserve">☐ </w:t>
      </w:r>
      <w:r>
        <w:t>Initial Admin can log in and create Teacher, Student and Parent accounts.</w:t>
      </w:r>
    </w:p>
    <w:p>
      <w:pPr>
        <w:widowControl/>
        <w:spacing w:after="26"/>
      </w:pPr>
      <w:r>
        <w:rPr>
          <w:rFonts w:ascii="Aptos" w:hAnsi="Aptos"/>
          <w:color w:val="1677FF"/>
          <w:sz w:val="20"/>
        </w:rPr>
        <w:t xml:space="preserve">☐ </w:t>
      </w:r>
      <w:r>
        <w:t>First-login/password reset/disable-enable flows work for all institute roles.</w:t>
      </w:r>
    </w:p>
    <w:p>
      <w:pPr>
        <w:widowControl/>
        <w:spacing w:after="26"/>
      </w:pPr>
      <w:r>
        <w:rPr>
          <w:rFonts w:ascii="Aptos" w:hAnsi="Aptos"/>
          <w:color w:val="1677FF"/>
          <w:sz w:val="20"/>
        </w:rPr>
        <w:t xml:space="preserve">☐ </w:t>
      </w:r>
      <w:r>
        <w:t>Admin portal exposes exactly the approved 13 main modules and required detail/action screens.</w:t>
      </w:r>
    </w:p>
    <w:p>
      <w:pPr>
        <w:widowControl/>
        <w:spacing w:after="26"/>
      </w:pPr>
      <w:r>
        <w:rPr>
          <w:rFonts w:ascii="Aptos" w:hAnsi="Aptos"/>
          <w:color w:val="1677FF"/>
          <w:sz w:val="20"/>
        </w:rPr>
        <w:t xml:space="preserve">☐ </w:t>
      </w:r>
      <w:r>
        <w:t>Teacher portal exposes exactly the approved 9 main items and is limited to assigned batches/subjects.</w:t>
      </w:r>
    </w:p>
    <w:p>
      <w:pPr>
        <w:widowControl/>
        <w:spacing w:after="26"/>
      </w:pPr>
      <w:r>
        <w:rPr>
          <w:rFonts w:ascii="Aptos" w:hAnsi="Aptos"/>
          <w:color w:val="1677FF"/>
          <w:sz w:val="20"/>
        </w:rPr>
        <w:t xml:space="preserve">☐ </w:t>
      </w:r>
      <w:r>
        <w:t>Student portal exposes exactly the approved 9 main items and only the student’s own/batch data.</w:t>
      </w:r>
    </w:p>
    <w:p>
      <w:pPr>
        <w:widowControl/>
        <w:spacing w:after="26"/>
      </w:pPr>
      <w:r>
        <w:rPr>
          <w:rFonts w:ascii="Aptos" w:hAnsi="Aptos"/>
          <w:color w:val="1677FF"/>
          <w:sz w:val="20"/>
        </w:rPr>
        <w:t xml:space="preserve">☐ </w:t>
      </w:r>
      <w:r>
        <w:t>Parent portal exposes exactly the approved 8 main items and only linked child data.</w:t>
      </w:r>
    </w:p>
    <w:p>
      <w:pPr>
        <w:widowControl/>
        <w:spacing w:after="26"/>
      </w:pPr>
      <w:r>
        <w:rPr>
          <w:rFonts w:ascii="Aptos" w:hAnsi="Aptos"/>
          <w:color w:val="1677FF"/>
          <w:sz w:val="20"/>
        </w:rPr>
        <w:t xml:space="preserve">☐ </w:t>
      </w:r>
      <w:r>
        <w:t>Batch assignment changes correctly affect Teacher/Student content visibility without creating new accounts.</w:t>
      </w:r>
    </w:p>
    <w:p>
      <w:pPr>
        <w:widowControl/>
        <w:spacing w:after="26"/>
      </w:pPr>
      <w:r>
        <w:rPr>
          <w:rFonts w:ascii="Aptos" w:hAnsi="Aptos"/>
          <w:color w:val="1677FF"/>
          <w:sz w:val="20"/>
        </w:rPr>
        <w:t xml:space="preserve">☐ </w:t>
      </w:r>
      <w:r>
        <w:t>Timetable displays correctly for Admin, Teacher and Student and changes can trigger relevant notification events.</w:t>
      </w:r>
    </w:p>
    <w:p>
      <w:pPr>
        <w:widowControl/>
        <w:spacing w:after="26"/>
      </w:pPr>
      <w:r>
        <w:rPr>
          <w:rFonts w:ascii="Aptos" w:hAnsi="Aptos"/>
          <w:color w:val="1677FF"/>
          <w:sz w:val="20"/>
        </w:rPr>
        <w:t xml:space="preserve">☐ </w:t>
      </w:r>
      <w:r>
        <w:t>Attendance can be recorded by authorized Teacher/Admin and is reflected to Student/Parent/Admin correctly.</w:t>
      </w:r>
    </w:p>
    <w:p>
      <w:pPr>
        <w:widowControl/>
        <w:spacing w:after="26"/>
      </w:pPr>
      <w:r>
        <w:rPr>
          <w:rFonts w:ascii="Aptos" w:hAnsi="Aptos"/>
          <w:color w:val="1677FF"/>
          <w:sz w:val="20"/>
        </w:rPr>
        <w:t xml:space="preserve">☐ </w:t>
      </w:r>
      <w:r>
        <w:t>Fees support installments/payments/receipts and remain inaccessible to Teachers.</w:t>
      </w:r>
    </w:p>
    <w:p>
      <w:pPr>
        <w:widowControl/>
        <w:spacing w:after="26"/>
      </w:pPr>
      <w:r>
        <w:rPr>
          <w:rFonts w:ascii="Aptos" w:hAnsi="Aptos"/>
          <w:color w:val="1677FF"/>
          <w:sz w:val="20"/>
        </w:rPr>
        <w:t xml:space="preserve">☐ </w:t>
      </w:r>
      <w:r>
        <w:t>Notes/Materials upload/download permissions work by institute/batch/role.</w:t>
      </w:r>
    </w:p>
    <w:p>
      <w:pPr>
        <w:widowControl/>
        <w:spacing w:after="26"/>
      </w:pPr>
      <w:r>
        <w:rPr>
          <w:rFonts w:ascii="Aptos" w:hAnsi="Aptos"/>
          <w:color w:val="1677FF"/>
          <w:sz w:val="20"/>
        </w:rPr>
        <w:t xml:space="preserve">☐ </w:t>
      </w:r>
      <w:r>
        <w:t>Admin can create exams; authorized Teacher can enter marks; unpublished results remain hidden; Admin can publish.</w:t>
      </w:r>
    </w:p>
    <w:p>
      <w:pPr>
        <w:widowControl/>
        <w:spacing w:after="26"/>
      </w:pPr>
      <w:r>
        <w:rPr>
          <w:rFonts w:ascii="Aptos" w:hAnsi="Aptos"/>
          <w:color w:val="1677FF"/>
          <w:sz w:val="20"/>
        </w:rPr>
        <w:t xml:space="preserve">☐ </w:t>
      </w:r>
      <w:r>
        <w:t>Student and Parent can view/download only their authorized published results/report cards.</w:t>
      </w:r>
    </w:p>
    <w:p>
      <w:pPr>
        <w:widowControl/>
        <w:spacing w:after="26"/>
      </w:pPr>
      <w:r>
        <w:rPr>
          <w:rFonts w:ascii="Aptos" w:hAnsi="Aptos"/>
          <w:color w:val="1677FF"/>
          <w:sz w:val="20"/>
        </w:rPr>
        <w:t xml:space="preserve">☐ </w:t>
      </w:r>
      <w:r>
        <w:t>Announcements resolve the correct audience and appear to the correct users.</w:t>
      </w:r>
    </w:p>
    <w:p>
      <w:pPr>
        <w:widowControl/>
        <w:spacing w:after="26"/>
      </w:pPr>
      <w:r>
        <w:rPr>
          <w:rFonts w:ascii="Aptos" w:hAnsi="Aptos"/>
          <w:color w:val="1677FF"/>
          <w:sz w:val="20"/>
        </w:rPr>
        <w:t xml:space="preserve">☐ </w:t>
      </w:r>
      <w:r>
        <w:t>In-app notifications work for core events; web push works where supported/permission granted or fails gracefully.</w:t>
      </w:r>
    </w:p>
    <w:p>
      <w:pPr>
        <w:widowControl/>
        <w:spacing w:after="26"/>
      </w:pPr>
      <w:r>
        <w:rPr>
          <w:rFonts w:ascii="Aptos" w:hAnsi="Aptos"/>
          <w:color w:val="1677FF"/>
          <w:sz w:val="20"/>
        </w:rPr>
        <w:t xml:space="preserve">☐ </w:t>
      </w:r>
      <w:r>
        <w:t>Admin/Super Admin critical actions produce audit logs.</w:t>
      </w:r>
    </w:p>
    <w:p>
      <w:pPr>
        <w:widowControl/>
        <w:spacing w:after="26"/>
      </w:pPr>
      <w:r>
        <w:rPr>
          <w:rFonts w:ascii="Aptos" w:hAnsi="Aptos"/>
          <w:color w:val="1677FF"/>
          <w:sz w:val="20"/>
        </w:rPr>
        <w:t xml:space="preserve">☐ </w:t>
      </w:r>
      <w:r>
        <w:t>All critical APIs have automated permission and tenant-isolation tests.</w:t>
      </w:r>
    </w:p>
    <w:p>
      <w:pPr>
        <w:widowControl/>
        <w:spacing w:after="26"/>
      </w:pPr>
      <w:r>
        <w:rPr>
          <w:rFonts w:ascii="Aptos" w:hAnsi="Aptos"/>
          <w:color w:val="1677FF"/>
          <w:sz w:val="20"/>
        </w:rPr>
        <w:t xml:space="preserve">☐ </w:t>
      </w:r>
      <w:r>
        <w:t>Responsive UI is usable on desktop and mobile; Student/Parent mobile experience is acceptable.</w:t>
      </w:r>
    </w:p>
    <w:p>
      <w:pPr>
        <w:widowControl/>
        <w:spacing w:after="26"/>
      </w:pPr>
      <w:r>
        <w:rPr>
          <w:rFonts w:ascii="Aptos" w:hAnsi="Aptos"/>
          <w:color w:val="1677FF"/>
          <w:sz w:val="20"/>
        </w:rPr>
        <w:t xml:space="preserve">☐ </w:t>
      </w:r>
      <w:r>
        <w:t>Staging deployment passes end-to-end smoke tests for all five roles.</w:t>
      </w:r>
    </w:p>
    <w:p>
      <w:pPr>
        <w:widowControl/>
        <w:spacing w:after="26"/>
      </w:pPr>
      <w:r>
        <w:rPr>
          <w:rFonts w:ascii="Aptos" w:hAnsi="Aptos"/>
          <w:color w:val="1677FF"/>
          <w:sz w:val="20"/>
        </w:rPr>
        <w:t xml:space="preserve">☐ </w:t>
      </w:r>
      <w:r>
        <w:t>Production uses HTTPS, backups, safe secrets and production database/object storage.</w:t>
      </w:r>
    </w:p>
    <w:p>
      <w:pPr>
        <w:widowControl/>
        <w:spacing w:after="26"/>
      </w:pPr>
      <w:r>
        <w:rPr>
          <w:rFonts w:ascii="Aptos" w:hAnsi="Aptos"/>
          <w:color w:val="1677FF"/>
          <w:sz w:val="20"/>
        </w:rPr>
        <w:t xml:space="preserve">☐ </w:t>
      </w:r>
      <w:r>
        <w:t>No excluded V1 modules were silently added as main product features.</w:t>
      </w:r>
    </w:p>
    <w:p>
      <w:pPr>
        <w:widowControl/>
      </w:pPr>
      <w:r>
        <w:br w:type="page"/>
      </w:r>
    </w:p>
    <w:p>
      <w:pPr>
        <w:pStyle w:val="Heading1"/>
        <w:widowControl/>
      </w:pPr>
      <w:r>
        <w:t>28. Instructions for Codex / ChatGPT Work / Astra</w:t>
      </w:r>
    </w:p>
    <w:tbl>
      <w:tblPr>
        <w:tblW w:type="auto" w:w="0"/>
        <w:jc w:val="center"/>
        <w:tblLook w:firstColumn="1" w:firstRow="1" w:lastColumn="0" w:lastRow="0" w:noHBand="0" w:noVBand="1" w:val="04A0"/>
      </w:tblPr>
      <w:tblGrid>
        <w:gridCol w:w="10282"/>
      </w:tblGrid>
      <w:tr>
        <w:tc>
          <w:tcPr>
            <w:tcW w:type="dxa" w:w="10282"/>
            <w:shd w:fill="EEF6FF"/>
            <w:vAlign w:val="center"/>
          </w:tcPr>
          <w:p>
            <w:pPr>
              <w:spacing w:after="40"/>
            </w:pPr>
            <w:r>
              <w:rPr>
                <w:b/>
                <w:color w:val="1677FF"/>
                <w:sz w:val="20"/>
              </w:rPr>
              <w:t>Primary instruction</w:t>
            </w:r>
          </w:p>
          <w:p>
            <w:pPr>
              <w:pStyle w:val="SpecNote"/>
              <w:spacing w:after="80"/>
            </w:pPr>
            <w:r>
              <w:t>Build the complete V1 system defined by this master specification and its companion portal/access specifications. Do not invent extra modules, remove approved behavior, or weaken tenant/role security for convenience.</w:t>
            </w:r>
          </w:p>
        </w:tc>
      </w:tr>
    </w:tbl>
    <w:p>
      <w:pPr>
        <w:widowControl/>
        <w:spacing w:after="0"/>
      </w:pPr>
    </w:p>
    <w:p>
      <w:pPr>
        <w:widowControl/>
        <w:spacing w:after="40"/>
        <w:ind w:left="173" w:hanging="173"/>
      </w:pPr>
      <w:r>
        <w:rPr>
          <w:b/>
          <w:color w:val="1677FF"/>
        </w:rPr>
        <w:t xml:space="preserve">1. </w:t>
      </w:r>
      <w:r>
        <w:t>Inspect all specification documents before modifying code.</w:t>
      </w:r>
    </w:p>
    <w:p>
      <w:pPr>
        <w:widowControl/>
        <w:spacing w:after="40"/>
        <w:ind w:left="173" w:hanging="173"/>
      </w:pPr>
      <w:r>
        <w:rPr>
          <w:b/>
          <w:color w:val="1677FF"/>
        </w:rPr>
        <w:t xml:space="preserve">2. </w:t>
      </w:r>
      <w:r>
        <w:t>Create or inspect the repository and produce a short implementation plan mapped to the locked architecture.</w:t>
      </w:r>
    </w:p>
    <w:p>
      <w:pPr>
        <w:widowControl/>
        <w:spacing w:after="40"/>
        <w:ind w:left="173" w:hanging="173"/>
      </w:pPr>
      <w:r>
        <w:rPr>
          <w:b/>
          <w:color w:val="1677FF"/>
        </w:rPr>
        <w:t xml:space="preserve">3. </w:t>
      </w:r>
      <w:r>
        <w:t>Preserve one shared codebase and one multi-institute architecture; never fork a codebase per coaching class.</w:t>
      </w:r>
    </w:p>
    <w:p>
      <w:pPr>
        <w:widowControl/>
        <w:spacing w:after="40"/>
        <w:ind w:left="173" w:hanging="173"/>
      </w:pPr>
      <w:r>
        <w:rPr>
          <w:b/>
          <w:color w:val="1677FF"/>
        </w:rPr>
        <w:t xml:space="preserve">4. </w:t>
      </w:r>
      <w:r>
        <w:t>Implement tenant isolation and role/scope permissions before exposing business modules.</w:t>
      </w:r>
    </w:p>
    <w:p>
      <w:pPr>
        <w:widowControl/>
        <w:spacing w:after="40"/>
        <w:ind w:left="173" w:hanging="173"/>
      </w:pPr>
      <w:r>
        <w:rPr>
          <w:b/>
          <w:color w:val="1677FF"/>
        </w:rPr>
        <w:t xml:space="preserve">5. </w:t>
      </w:r>
      <w:r>
        <w:t>Implement the full system in the approved internal dependency order while treating it as one final V1 deliverable.</w:t>
      </w:r>
    </w:p>
    <w:p>
      <w:pPr>
        <w:widowControl/>
        <w:spacing w:after="40"/>
        <w:ind w:left="173" w:hanging="173"/>
      </w:pPr>
      <w:r>
        <w:rPr>
          <w:b/>
          <w:color w:val="1677FF"/>
        </w:rPr>
        <w:t xml:space="preserve">6. </w:t>
      </w:r>
      <w:r>
        <w:t>Run targeted tests after each logical module and the complete suite before handoff.</w:t>
      </w:r>
    </w:p>
    <w:p>
      <w:pPr>
        <w:widowControl/>
        <w:spacing w:after="40"/>
        <w:ind w:left="173" w:hanging="173"/>
      </w:pPr>
      <w:r>
        <w:rPr>
          <w:b/>
          <w:color w:val="1677FF"/>
        </w:rPr>
        <w:t xml:space="preserve">7. </w:t>
      </w:r>
      <w:r>
        <w:t>Use two demo institutes throughout development to detect leakage.</w:t>
      </w:r>
    </w:p>
    <w:p>
      <w:pPr>
        <w:widowControl/>
        <w:spacing w:after="40"/>
        <w:ind w:left="173" w:hanging="173"/>
      </w:pPr>
      <w:r>
        <w:rPr>
          <w:b/>
          <w:color w:val="1677FF"/>
        </w:rPr>
        <w:t xml:space="preserve">8. </w:t>
      </w:r>
      <w:r>
        <w:t>When a specification is ambiguous, choose the simplest behavior consistent with the product goals and document the assumption; do not expand scope.</w:t>
      </w:r>
    </w:p>
    <w:p>
      <w:pPr>
        <w:widowControl/>
        <w:spacing w:after="40"/>
        <w:ind w:left="173" w:hanging="173"/>
      </w:pPr>
      <w:r>
        <w:rPr>
          <w:b/>
          <w:color w:val="1677FF"/>
        </w:rPr>
        <w:t xml:space="preserve">9. </w:t>
      </w:r>
      <w:r>
        <w:t>Do not claim a feature is complete until happy-path, validation, permission-denial and relevant empty/error states are tested.</w:t>
      </w:r>
    </w:p>
    <w:p>
      <w:pPr>
        <w:widowControl/>
        <w:spacing w:after="40"/>
        <w:ind w:left="173" w:hanging="173"/>
      </w:pPr>
      <w:r>
        <w:rPr>
          <w:b/>
          <w:color w:val="1677FF"/>
        </w:rPr>
        <w:t xml:space="preserve">10. </w:t>
      </w:r>
      <w:r>
        <w:t>At final handoff, provide setup instructions, environment-variable template, migrations, seed/demo command, test command, deployment notes and known limitations.</w:t>
      </w:r>
    </w:p>
    <w:p>
      <w:pPr>
        <w:pStyle w:val="Heading2"/>
        <w:widowControl/>
      </w:pPr>
      <w:r>
        <w:t>Definition of done</w:t>
      </w:r>
    </w:p>
    <w:p>
      <w:pPr>
        <w:pStyle w:val="ListBullet"/>
        <w:widowControl/>
        <w:spacing w:after="26"/>
        <w:ind w:left="288"/>
      </w:pPr>
      <w:r>
        <w:t>Functional V1 product, not static mock screens.</w:t>
      </w:r>
    </w:p>
    <w:p>
      <w:pPr>
        <w:pStyle w:val="ListBullet"/>
        <w:widowControl/>
        <w:spacing w:after="26"/>
        <w:ind w:left="288"/>
      </w:pPr>
      <w:r>
        <w:t>Real backend/database integration; no fake hard-coded portal data except explicit demo seeds.</w:t>
      </w:r>
    </w:p>
    <w:p>
      <w:pPr>
        <w:pStyle w:val="ListBullet"/>
        <w:widowControl/>
        <w:spacing w:after="26"/>
        <w:ind w:left="288"/>
      </w:pPr>
      <w:r>
        <w:t>All five roles work end-to-end.</w:t>
      </w:r>
    </w:p>
    <w:p>
      <w:pPr>
        <w:pStyle w:val="ListBullet"/>
        <w:widowControl/>
        <w:spacing w:after="26"/>
        <w:ind w:left="288"/>
      </w:pPr>
      <w:r>
        <w:t>Two institutes can coexist without leakage.</w:t>
      </w:r>
    </w:p>
    <w:p>
      <w:pPr>
        <w:pStyle w:val="ListBullet"/>
        <w:widowControl/>
        <w:spacing w:after="26"/>
        <w:ind w:left="288"/>
      </w:pPr>
      <w:r>
        <w:t>Core automated tests pass.</w:t>
      </w:r>
    </w:p>
    <w:p>
      <w:pPr>
        <w:pStyle w:val="ListBullet"/>
        <w:widowControl/>
        <w:spacing w:after="26"/>
        <w:ind w:left="288"/>
      </w:pPr>
      <w:r>
        <w:t>Staging build is deployable and production configuration is documented.</w:t>
      </w:r>
    </w:p>
    <w:tbl>
      <w:tblPr>
        <w:tblW w:type="auto" w:w="0"/>
        <w:jc w:val="center"/>
        <w:tblLook w:firstColumn="1" w:firstRow="1" w:lastColumn="0" w:lastRow="0" w:noHBand="0" w:noVBand="1" w:val="04A0"/>
      </w:tblPr>
      <w:tblGrid>
        <w:gridCol w:w="10282"/>
      </w:tblGrid>
      <w:tr>
        <w:tc>
          <w:tcPr>
            <w:tcW w:type="dxa" w:w="10282"/>
            <w:shd w:fill="ECFDF5"/>
            <w:vAlign w:val="center"/>
          </w:tcPr>
          <w:p>
            <w:pPr>
              <w:spacing w:after="40"/>
            </w:pPr>
            <w:r>
              <w:rPr>
                <w:b/>
                <w:color w:val="16A34A"/>
                <w:sz w:val="20"/>
              </w:rPr>
              <w:t>Final reminder</w:t>
            </w:r>
          </w:p>
          <w:p>
            <w:pPr>
              <w:pStyle w:val="SpecNote"/>
              <w:spacing w:after="80"/>
            </w:pPr>
            <w:r>
              <w:t>This system is designed to become each coaching institute’s own branded software while GrowthSathi operates the shared engine behind it. Every technical decision should preserve that product promise.</w:t>
            </w:r>
          </w:p>
        </w:tc>
      </w:tr>
    </w:tbl>
    <w:p>
      <w:pPr>
        <w:widowControl/>
        <w:spacing w:after="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Single development source of truth — 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GrowthSathi Class System  |  Final Master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5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77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5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Note">
    <w:name w:val="Spec Note"/>
    <w:pPr>
      <w:spacing w:after="80"/>
    </w:pPr>
    <w:rPr>
      <w:rFonts w:ascii="Aptos" w:hAnsi="Aptos"/>
      <w:color w:val="334155"/>
      <w:sz w:val="18"/>
    </w:rPr>
  </w:style>
  <w:style w:type="paragraph" w:customStyle="1" w:styleId="Small">
    <w:name w:val="Small"/>
    <w:rPr>
      <w:rFonts w:ascii="Aptos" w:hAnsi="Aptos"/>
      <w:color w:val="64748B"/>
      <w:sz w:val="16"/>
    </w:rPr>
  </w:style>
  <w:style w:type="paragraph" w:customStyle="1" w:styleId="Codeish">
    <w:name w:val="Codeish"/>
    <w:pPr>
      <w:spacing w:after="40"/>
    </w:pPr>
    <w:rPr>
      <w:rFonts w:ascii="Consolas" w:hAnsi="Consolas"/>
      <w:color w:val="0F17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