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D1B2A"/>
          <w:sz w:val="32"/>
        </w:rPr>
        <w:t>TAX RESEARCH MEMORANDUM</w:t>
      </w:r>
    </w:p>
    <w:p>
      <w:pPr>
        <w:jc w:val="center"/>
      </w:pPr>
      <w:r>
        <w:rPr>
          <w:rFonts w:ascii="Arial" w:hAnsi="Arial"/>
          <w:b/>
          <w:color w:val="C9933A"/>
          <w:sz w:val="16"/>
        </w:rPr>
        <w:t>PRIVILEGED &amp; CONFIDENTIAL — ATTORNEY WORK PRODUCT</w:t>
      </w:r>
    </w:p>
    <w:p/>
    <w:p>
      <w:r>
        <w:rPr>
          <w:rFonts w:ascii="Arial" w:hAnsi="Arial"/>
          <w:b/>
          <w:color w:val="000000"/>
          <w:sz w:val="20"/>
        </w:rPr>
        <w:t>Date:</w:t>
      </w:r>
      <w:r>
        <w:rPr>
          <w:rFonts w:ascii="Arial" w:hAnsi="Arial"/>
          <w:b w:val="0"/>
          <w:color w:val="0000FF"/>
          <w:sz w:val="20"/>
        </w:rPr>
        <w:t xml:space="preserve">  [Month DD, YYYY]</w:t>
      </w:r>
    </w:p>
    <w:p>
      <w:r>
        <w:rPr>
          <w:rFonts w:ascii="Arial" w:hAnsi="Arial"/>
          <w:b/>
          <w:color w:val="000000"/>
          <w:sz w:val="20"/>
        </w:rPr>
        <w:t>Prepared by:</w:t>
      </w:r>
      <w:r>
        <w:rPr>
          <w:rFonts w:ascii="Arial" w:hAnsi="Arial"/>
          <w:b w:val="0"/>
          <w:color w:val="0000FF"/>
          <w:sz w:val="20"/>
        </w:rPr>
        <w:t xml:space="preserve">  [Preparer Name, Title]</w:t>
      </w:r>
    </w:p>
    <w:p>
      <w:r>
        <w:rPr>
          <w:rFonts w:ascii="Arial" w:hAnsi="Arial"/>
          <w:b/>
          <w:color w:val="000000"/>
          <w:sz w:val="20"/>
        </w:rPr>
        <w:t>Reviewed by:</w:t>
      </w:r>
      <w:r>
        <w:rPr>
          <w:rFonts w:ascii="Arial" w:hAnsi="Arial"/>
          <w:b w:val="0"/>
          <w:color w:val="0000FF"/>
          <w:sz w:val="20"/>
        </w:rPr>
        <w:t xml:space="preserve">  [Reviewer Name, Title]</w:t>
      </w:r>
    </w:p>
    <w:p>
      <w:r>
        <w:rPr>
          <w:rFonts w:ascii="Arial" w:hAnsi="Arial"/>
          <w:b/>
          <w:color w:val="000000"/>
          <w:sz w:val="20"/>
        </w:rPr>
        <w:t>Client:</w:t>
      </w:r>
      <w:r>
        <w:rPr>
          <w:rFonts w:ascii="Arial" w:hAnsi="Arial"/>
          <w:b w:val="0"/>
          <w:color w:val="0000FF"/>
          <w:sz w:val="20"/>
        </w:rPr>
        <w:t xml:space="preserve">  [Client Name / Entity]</w:t>
      </w:r>
    </w:p>
    <w:p>
      <w:r>
        <w:rPr>
          <w:rFonts w:ascii="Arial" w:hAnsi="Arial"/>
          <w:b/>
          <w:color w:val="000000"/>
          <w:sz w:val="20"/>
        </w:rPr>
        <w:t>Tax Year:</w:t>
      </w:r>
      <w:r>
        <w:rPr>
          <w:rFonts w:ascii="Arial" w:hAnsi="Arial"/>
          <w:b w:val="0"/>
          <w:color w:val="0000FF"/>
          <w:sz w:val="20"/>
        </w:rPr>
        <w:t xml:space="preserve">  [2025]</w:t>
      </w:r>
    </w:p>
    <w:p>
      <w:r>
        <w:rPr>
          <w:rFonts w:ascii="Arial" w:hAnsi="Arial"/>
          <w:b/>
          <w:color w:val="000000"/>
          <w:sz w:val="20"/>
        </w:rPr>
        <w:t>Re:</w:t>
      </w:r>
      <w:r>
        <w:rPr>
          <w:rFonts w:ascii="Arial" w:hAnsi="Arial"/>
          <w:b w:val="0"/>
          <w:color w:val="0000FF"/>
          <w:sz w:val="20"/>
        </w:rPr>
        <w:t xml:space="preserve">  [Brief description of tax issue]</w:t>
      </w:r>
    </w:p>
    <w:p/>
    <w:p>
      <w:r>
        <w:rPr>
          <w:rFonts w:ascii="Arial" w:hAnsi="Arial"/>
          <w:b/>
          <w:color w:val="1A7A6E"/>
          <w:sz w:val="24"/>
        </w:rPr>
        <w:t>I. ISSUE</w:t>
      </w:r>
    </w:p>
    <w:p>
      <w:r>
        <w:rPr>
          <w:rFonts w:ascii="Arial" w:hAnsi="Arial"/>
          <w:b w:val="0"/>
          <w:color w:val="595959"/>
          <w:sz w:val="20"/>
        </w:rPr>
        <w:t>State the specific tax question to be resolved. Frame as a yes/no or how question.</w:t>
        <w:br/>
        <w:br/>
        <w:t>Example: "Whether [Entity] qualifies for the §199A qualified business income deduction with respect to its [specific income] for Tax Year 2025, considering the OBBB permanent extension."</w:t>
      </w:r>
    </w:p>
    <w:p/>
    <w:p>
      <w:r>
        <w:rPr>
          <w:rFonts w:ascii="Arial" w:hAnsi="Arial"/>
          <w:b/>
          <w:color w:val="1A7A6E"/>
          <w:sz w:val="24"/>
        </w:rPr>
        <w:t>II. SHORT ANSWER</w:t>
      </w:r>
    </w:p>
    <w:p>
      <w:r>
        <w:rPr>
          <w:rFonts w:ascii="Arial" w:hAnsi="Arial"/>
          <w:b w:val="0"/>
          <w:color w:val="595959"/>
          <w:sz w:val="20"/>
        </w:rPr>
        <w:t>Provide a brief, direct answer to the issue (1-3 sentences). Include the confidence level and key authority.</w:t>
        <w:br/>
        <w:br/>
        <w:t>Example: "Yes, based on IRC §199A and Treas. Reg. §1.199A-1(b), [Entity] qualifies for the 20% QBI deduction on its [income], subject to the W-2 wage limitation. Confidence: High — well-settled law made permanent by OBBB."</w:t>
      </w:r>
    </w:p>
    <w:p/>
    <w:p>
      <w:r>
        <w:rPr>
          <w:rFonts w:ascii="Arial" w:hAnsi="Arial"/>
          <w:b/>
          <w:color w:val="1A7A6E"/>
          <w:sz w:val="24"/>
        </w:rPr>
        <w:t>III. FACTS</w:t>
      </w:r>
    </w:p>
    <w:p>
      <w:r>
        <w:rPr>
          <w:rFonts w:ascii="Arial" w:hAnsi="Arial"/>
          <w:b w:val="0"/>
          <w:color w:val="595959"/>
          <w:sz w:val="20"/>
        </w:rPr>
        <w:t>Summarize all relevant facts. Include:</w:t>
        <w:br/>
        <w:t>• Entity type and structure</w:t>
        <w:br/>
        <w:t>• Taxable year</w:t>
        <w:br/>
        <w:t>• Relevant transactions and amounts</w:t>
        <w:br/>
        <w:t>• Prior positions taken</w:t>
        <w:br/>
        <w:t>• Any pending IRS examinations</w:t>
      </w:r>
    </w:p>
    <w:p/>
    <w:p>
      <w:r>
        <w:rPr>
          <w:rFonts w:ascii="Arial" w:hAnsi="Arial"/>
          <w:b/>
          <w:color w:val="1A7A6E"/>
          <w:sz w:val="24"/>
        </w:rPr>
        <w:t>IV. APPLICABLE LAW</w:t>
      </w:r>
    </w:p>
    <w:p>
      <w:r>
        <w:rPr>
          <w:rFonts w:ascii="Arial" w:hAnsi="Arial"/>
          <w:b w:val="0"/>
          <w:color w:val="595959"/>
          <w:sz w:val="20"/>
        </w:rPr>
        <w:t>Cite and discuss relevant authorities in order of weight:</w:t>
        <w:br/>
        <w:br/>
        <w:t>1. STATUTORY: IRC §XXX — [description]</w:t>
        <w:br/>
        <w:t>2. REGULATORY: Treas. Reg. §X.XXX — [description]</w:t>
        <w:br/>
        <w:t>3. ADMINISTRATIVE: Rev. Rul. XXXX-XX, Rev. Proc. XXXX-XX, PLR XXXXXXXXX</w:t>
        <w:br/>
        <w:t>4. JUDICIAL: [Case Name, Court, Year — holding]</w:t>
        <w:br/>
        <w:br/>
        <w:t>Note any 2025 OBBB changes that affect the analysis.</w:t>
      </w:r>
    </w:p>
    <w:p/>
    <w:p>
      <w:r>
        <w:rPr>
          <w:rFonts w:ascii="Arial" w:hAnsi="Arial"/>
          <w:b/>
          <w:color w:val="1A7A6E"/>
          <w:sz w:val="24"/>
        </w:rPr>
        <w:t>V. ANALYSIS</w:t>
      </w:r>
    </w:p>
    <w:p>
      <w:r>
        <w:rPr>
          <w:rFonts w:ascii="Arial" w:hAnsi="Arial"/>
          <w:b w:val="0"/>
          <w:color w:val="595959"/>
          <w:sz w:val="20"/>
        </w:rPr>
        <w:t>Apply the law to the facts. Address:</w:t>
        <w:br/>
        <w:t>• How the statute/regulations apply to the specific facts</w:t>
        <w:br/>
        <w:t>• Any ambiguities or gray areas</w:t>
        <w:br/>
        <w:t>• Counterarguments the IRS could make</w:t>
        <w:br/>
        <w:t>• State tax implications (conformity / non-conformity)</w:t>
        <w:br/>
        <w:t>• Impact of 2025 OBBB changes if applicable</w:t>
      </w:r>
    </w:p>
    <w:p/>
    <w:p>
      <w:r>
        <w:rPr>
          <w:rFonts w:ascii="Arial" w:hAnsi="Arial"/>
          <w:b/>
          <w:color w:val="1A7A6E"/>
          <w:sz w:val="24"/>
        </w:rPr>
        <w:t>VI. CONCLUSION</w:t>
      </w:r>
    </w:p>
    <w:p>
      <w:r>
        <w:rPr>
          <w:rFonts w:ascii="Arial" w:hAnsi="Arial"/>
          <w:b w:val="0"/>
          <w:color w:val="595959"/>
          <w:sz w:val="20"/>
        </w:rPr>
        <w:t>Restate the answer with specificity. Include:</w:t>
        <w:br/>
        <w:t>• Recommended position</w:t>
        <w:br/>
        <w:t>• Confidence level (Well-Settled / Probable / Reasonable Basis / Not Supportable)</w:t>
        <w:br/>
        <w:t>• Disclosure requirements (Form 8275 / 8275-R if applicable)</w:t>
        <w:br/>
        <w:t>• Planning opportunities</w:t>
      </w:r>
    </w:p>
    <w:p/>
    <w:p>
      <w:r>
        <w:rPr>
          <w:rFonts w:ascii="Arial" w:hAnsi="Arial"/>
          <w:b/>
          <w:color w:val="1A7A6E"/>
          <w:sz w:val="24"/>
        </w:rPr>
        <w:t>VII. FOLLOW-UP ITEMS</w:t>
      </w:r>
    </w:p>
    <w:p>
      <w:r>
        <w:rPr>
          <w:rFonts w:ascii="Arial" w:hAnsi="Arial"/>
          <w:b w:val="0"/>
          <w:color w:val="595959"/>
          <w:sz w:val="20"/>
        </w:rPr>
        <w:t>☐ [Action item 1]</w:t>
        <w:br/>
        <w:t>☐ [Action item 2]</w:t>
        <w:br/>
        <w:t>☐ [Action item 3]</w:t>
      </w:r>
    </w:p>
    <w:p/>
    <w:p>
      <w:r>
        <w:rPr>
          <w:rFonts w:ascii="Arial" w:hAnsi="Arial"/>
          <w:b w:val="0"/>
          <w:color w:val="59595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 w:val="0"/>
          <w:color w:val="595959"/>
          <w:sz w:val="16"/>
        </w:rPr>
        <w:t>Template provided by TaxClarity — taxclarity.com  |  Not legal or tax advice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