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50DD" w14:textId="11566724" w:rsidR="00716182" w:rsidRDefault="00DF75BA" w:rsidP="00DF75BA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 w:rsidRPr="00DF75BA">
        <w:rPr>
          <w:rFonts w:ascii="Times New Roman" w:hAnsi="Times New Roman" w:cs="Times New Roman"/>
          <w:b/>
          <w:bCs/>
          <w:sz w:val="48"/>
          <w:szCs w:val="44"/>
        </w:rPr>
        <w:t>Drop-Out Fuse (DOF) / Isolator Switch</w:t>
      </w:r>
    </w:p>
    <w:p w14:paraId="60408F18" w14:textId="77777777" w:rsidR="008F5156" w:rsidRPr="008F5156" w:rsidRDefault="008F5156" w:rsidP="008F5156"/>
    <w:p w14:paraId="780DBB03" w14:textId="7F544B5F" w:rsidR="00DF75BA" w:rsidRPr="003100FD" w:rsidRDefault="00DF75BA" w:rsidP="00DF75BA">
      <w:pPr>
        <w:rPr>
          <w:rFonts w:ascii="Times New Roman" w:hAnsi="Times New Roman" w:cs="Times New Roman"/>
          <w:b/>
          <w:bCs/>
          <w:sz w:val="44"/>
          <w:szCs w:val="36"/>
        </w:rPr>
      </w:pPr>
      <w:r w:rsidRPr="003100FD">
        <w:rPr>
          <w:rFonts w:ascii="Times New Roman" w:hAnsi="Times New Roman" w:cs="Times New Roman"/>
          <w:b/>
          <w:bCs/>
          <w:sz w:val="44"/>
          <w:szCs w:val="36"/>
        </w:rPr>
        <w:t>1. Introduction</w:t>
      </w:r>
      <w:r w:rsidR="003100FD">
        <w:rPr>
          <w:rFonts w:ascii="Times New Roman" w:hAnsi="Times New Roman" w:cs="Times New Roman"/>
          <w:b/>
          <w:bCs/>
          <w:sz w:val="44"/>
          <w:szCs w:val="36"/>
        </w:rPr>
        <w:t>:-</w:t>
      </w:r>
    </w:p>
    <w:p w14:paraId="0BF79748" w14:textId="41CC4DD6" w:rsidR="00DF75BA" w:rsidRPr="00DF75BA" w:rsidRDefault="00DF75BA" w:rsidP="00DF75BA">
      <w:pPr>
        <w:rPr>
          <w:sz w:val="32"/>
          <w:szCs w:val="24"/>
        </w:rPr>
      </w:pPr>
      <w:r w:rsidRPr="00DF75BA">
        <w:rPr>
          <w:sz w:val="32"/>
          <w:szCs w:val="24"/>
        </w:rPr>
        <w:t>Drop-Out Fuses (DOFs), also known as Drop-Out Fuse Isolators, are protective devices used in medium-voltage overhead power distribution systems. They serve a dual purpose: protecting equipment from overcurrent and providing a visible disconnection point for maintenance.</w:t>
      </w:r>
    </w:p>
    <w:p w14:paraId="553BB10B" w14:textId="77777777" w:rsidR="00DF75BA" w:rsidRPr="00DF75BA" w:rsidRDefault="00DF75BA" w:rsidP="00DF75BA">
      <w:pPr>
        <w:rPr>
          <w:sz w:val="32"/>
          <w:szCs w:val="24"/>
        </w:rPr>
      </w:pPr>
    </w:p>
    <w:p w14:paraId="03CB1298" w14:textId="1BB7DB0C" w:rsidR="003100FD" w:rsidRPr="00DF75BA" w:rsidRDefault="00DF75BA" w:rsidP="00DF75BA">
      <w:pPr>
        <w:rPr>
          <w:rFonts w:ascii="Times New Roman" w:hAnsi="Times New Roman" w:cs="Times New Roman"/>
          <w:b/>
          <w:bCs/>
          <w:sz w:val="44"/>
          <w:szCs w:val="36"/>
        </w:rPr>
      </w:pPr>
      <w:r w:rsidRPr="00DF75BA">
        <w:rPr>
          <w:rFonts w:ascii="Times New Roman" w:hAnsi="Times New Roman" w:cs="Times New Roman"/>
          <w:b/>
          <w:bCs/>
          <w:sz w:val="44"/>
          <w:szCs w:val="36"/>
        </w:rPr>
        <w:t>2. Construction and Components</w:t>
      </w:r>
      <w:r w:rsidR="003100FD">
        <w:rPr>
          <w:rFonts w:ascii="Times New Roman" w:hAnsi="Times New Roman" w:cs="Times New Roman"/>
          <w:b/>
          <w:bCs/>
          <w:sz w:val="44"/>
          <w:szCs w:val="36"/>
        </w:rPr>
        <w:t>:-</w:t>
      </w:r>
    </w:p>
    <w:tbl>
      <w:tblPr>
        <w:tblStyle w:val="TableGrid"/>
        <w:tblW w:w="8671" w:type="dxa"/>
        <w:tblLook w:val="04A0" w:firstRow="1" w:lastRow="0" w:firstColumn="1" w:lastColumn="0" w:noHBand="0" w:noVBand="1"/>
      </w:tblPr>
      <w:tblGrid>
        <w:gridCol w:w="2629"/>
        <w:gridCol w:w="6042"/>
      </w:tblGrid>
      <w:tr w:rsidR="00DF75BA" w:rsidRPr="00DF75BA" w14:paraId="7C58E96A" w14:textId="77777777" w:rsidTr="008F5156">
        <w:trPr>
          <w:trHeight w:val="789"/>
        </w:trPr>
        <w:tc>
          <w:tcPr>
            <w:tcW w:w="0" w:type="auto"/>
            <w:vAlign w:val="center"/>
            <w:hideMark/>
          </w:tcPr>
          <w:p w14:paraId="4760AF8D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b/>
                <w:bCs/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Component</w:t>
            </w:r>
          </w:p>
        </w:tc>
        <w:tc>
          <w:tcPr>
            <w:tcW w:w="6042" w:type="dxa"/>
            <w:vAlign w:val="center"/>
            <w:hideMark/>
          </w:tcPr>
          <w:p w14:paraId="633B7DE0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b/>
                <w:bCs/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Description</w:t>
            </w:r>
          </w:p>
        </w:tc>
      </w:tr>
      <w:tr w:rsidR="00DF75BA" w:rsidRPr="00DF75BA" w14:paraId="4C68E201" w14:textId="77777777" w:rsidTr="008F5156">
        <w:trPr>
          <w:trHeight w:val="1359"/>
        </w:trPr>
        <w:tc>
          <w:tcPr>
            <w:tcW w:w="0" w:type="auto"/>
            <w:vAlign w:val="center"/>
            <w:hideMark/>
          </w:tcPr>
          <w:p w14:paraId="79FF8F0D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Fuse Carrier</w:t>
            </w:r>
          </w:p>
        </w:tc>
        <w:tc>
          <w:tcPr>
            <w:tcW w:w="6042" w:type="dxa"/>
            <w:vAlign w:val="center"/>
            <w:hideMark/>
          </w:tcPr>
          <w:p w14:paraId="5C1FD630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sz w:val="32"/>
                <w:szCs w:val="24"/>
              </w:rPr>
              <w:t>Holds the fuse link; drops out when the fuse blows, providing visual cue.</w:t>
            </w:r>
          </w:p>
        </w:tc>
      </w:tr>
      <w:tr w:rsidR="00DF75BA" w:rsidRPr="00DF75BA" w14:paraId="2B5D04FA" w14:textId="77777777" w:rsidTr="008F5156">
        <w:trPr>
          <w:trHeight w:val="1359"/>
        </w:trPr>
        <w:tc>
          <w:tcPr>
            <w:tcW w:w="0" w:type="auto"/>
            <w:vAlign w:val="center"/>
            <w:hideMark/>
          </w:tcPr>
          <w:p w14:paraId="6EB30FC9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Fuse Link</w:t>
            </w:r>
          </w:p>
        </w:tc>
        <w:tc>
          <w:tcPr>
            <w:tcW w:w="6042" w:type="dxa"/>
            <w:vAlign w:val="center"/>
            <w:hideMark/>
          </w:tcPr>
          <w:p w14:paraId="66718089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sz w:val="32"/>
                <w:szCs w:val="24"/>
              </w:rPr>
              <w:t>A replaceable element that melts under fault current to interrupt the circuit.</w:t>
            </w:r>
          </w:p>
        </w:tc>
      </w:tr>
      <w:tr w:rsidR="00DF75BA" w:rsidRPr="00DF75BA" w14:paraId="1787635B" w14:textId="77777777" w:rsidTr="008F5156">
        <w:trPr>
          <w:trHeight w:val="1374"/>
        </w:trPr>
        <w:tc>
          <w:tcPr>
            <w:tcW w:w="0" w:type="auto"/>
            <w:vAlign w:val="center"/>
            <w:hideMark/>
          </w:tcPr>
          <w:p w14:paraId="2A94B24E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Insulators</w:t>
            </w:r>
          </w:p>
        </w:tc>
        <w:tc>
          <w:tcPr>
            <w:tcW w:w="6042" w:type="dxa"/>
            <w:vAlign w:val="center"/>
            <w:hideMark/>
          </w:tcPr>
          <w:p w14:paraId="258918C1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sz w:val="32"/>
                <w:szCs w:val="24"/>
              </w:rPr>
              <w:t>Typically made of porcelain or polymer; support and isolate live parts.</w:t>
            </w:r>
          </w:p>
        </w:tc>
      </w:tr>
      <w:tr w:rsidR="00DF75BA" w:rsidRPr="00DF75BA" w14:paraId="53821962" w14:textId="77777777" w:rsidTr="008F5156">
        <w:trPr>
          <w:trHeight w:val="1359"/>
        </w:trPr>
        <w:tc>
          <w:tcPr>
            <w:tcW w:w="0" w:type="auto"/>
            <w:vAlign w:val="center"/>
            <w:hideMark/>
          </w:tcPr>
          <w:p w14:paraId="3FFB5939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Hinge &amp; Latch Assembly</w:t>
            </w:r>
          </w:p>
        </w:tc>
        <w:tc>
          <w:tcPr>
            <w:tcW w:w="6042" w:type="dxa"/>
            <w:vAlign w:val="center"/>
            <w:hideMark/>
          </w:tcPr>
          <w:p w14:paraId="289ABE45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sz w:val="32"/>
                <w:szCs w:val="24"/>
              </w:rPr>
              <w:t>Allows the fuse carrier to pivot and drop when the fuse blows.</w:t>
            </w:r>
          </w:p>
        </w:tc>
      </w:tr>
      <w:tr w:rsidR="00DF75BA" w:rsidRPr="00DF75BA" w14:paraId="40621E3E" w14:textId="77777777" w:rsidTr="008F5156">
        <w:trPr>
          <w:trHeight w:val="789"/>
        </w:trPr>
        <w:tc>
          <w:tcPr>
            <w:tcW w:w="0" w:type="auto"/>
            <w:vAlign w:val="center"/>
            <w:hideMark/>
          </w:tcPr>
          <w:p w14:paraId="4114A6E8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b/>
                <w:bCs/>
                <w:sz w:val="32"/>
                <w:szCs w:val="24"/>
              </w:rPr>
              <w:t>Contacts</w:t>
            </w:r>
          </w:p>
        </w:tc>
        <w:tc>
          <w:tcPr>
            <w:tcW w:w="6042" w:type="dxa"/>
            <w:vAlign w:val="center"/>
            <w:hideMark/>
          </w:tcPr>
          <w:p w14:paraId="5053F81C" w14:textId="77777777" w:rsidR="00DF75BA" w:rsidRPr="00DF75BA" w:rsidRDefault="00DF75BA" w:rsidP="00DF75BA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DF75BA">
              <w:rPr>
                <w:sz w:val="32"/>
                <w:szCs w:val="24"/>
              </w:rPr>
              <w:t>Ensure electrical continuity when the fuse is intact.</w:t>
            </w:r>
          </w:p>
        </w:tc>
      </w:tr>
    </w:tbl>
    <w:p w14:paraId="4E1B1AF8" w14:textId="2712FDC8" w:rsidR="00DF75BA" w:rsidRPr="00DF75BA" w:rsidRDefault="00DF75BA" w:rsidP="00DF7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3100F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3)</w:t>
      </w:r>
      <w:r w:rsidRPr="00DF75B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Working Principle</w:t>
      </w:r>
      <w:r w:rsidR="003100F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:-</w:t>
      </w:r>
    </w:p>
    <w:p w14:paraId="00E67E2E" w14:textId="77777777" w:rsidR="00DF75BA" w:rsidRPr="00DF75BA" w:rsidRDefault="00DF75BA" w:rsidP="00DF7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F75B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Under normal conditions, current flows through the fuse link.</w:t>
      </w:r>
    </w:p>
    <w:p w14:paraId="25835546" w14:textId="77777777" w:rsidR="00DF75BA" w:rsidRPr="00DF75BA" w:rsidRDefault="00DF75BA" w:rsidP="00DF7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F75B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When a fault occurs (e.g., short circuit or overload), the fuse link melts.</w:t>
      </w:r>
    </w:p>
    <w:p w14:paraId="3A6B1880" w14:textId="77777777" w:rsidR="00DF75BA" w:rsidRPr="00DF75BA" w:rsidRDefault="00DF75BA" w:rsidP="00DF7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F75B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 fuse carrier drops down due to gravity and hinge design.</w:t>
      </w:r>
    </w:p>
    <w:p w14:paraId="3997C313" w14:textId="77777777" w:rsidR="00DF75BA" w:rsidRDefault="00DF75BA" w:rsidP="00DF75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F75B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This </w:t>
      </w:r>
      <w:r w:rsidRPr="00DF75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breaks the circuit</w:t>
      </w:r>
      <w:r w:rsidRPr="00DF75B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provides a </w:t>
      </w:r>
      <w:r w:rsidRPr="00DF75B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visible disconnection</w:t>
      </w:r>
      <w:r w:rsidRPr="00DF75B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, ensuring safety for maintenance.</w:t>
      </w:r>
    </w:p>
    <w:p w14:paraId="30344036" w14:textId="77777777" w:rsidR="00DF75BA" w:rsidRPr="00DF75BA" w:rsidRDefault="00DF75BA" w:rsidP="00DF75B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233334C" w14:textId="189048C2" w:rsidR="00B70D27" w:rsidRDefault="00DF75BA" w:rsidP="00B70D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70D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Technical Specifications (Typical for 11 kV DOF)</w:t>
      </w:r>
      <w:r w:rsidR="003100FD" w:rsidRPr="00B70D2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:-</w:t>
      </w:r>
    </w:p>
    <w:p w14:paraId="36AA11AC" w14:textId="77777777" w:rsidR="00B70D27" w:rsidRPr="00B70D27" w:rsidRDefault="00B70D27" w:rsidP="00B70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4982"/>
        <w:gridCol w:w="4350"/>
      </w:tblGrid>
      <w:tr w:rsidR="008F5156" w:rsidRPr="00DF75BA" w14:paraId="396539BE" w14:textId="77777777" w:rsidTr="008F5156">
        <w:trPr>
          <w:trHeight w:val="979"/>
        </w:trPr>
        <w:tc>
          <w:tcPr>
            <w:tcW w:w="0" w:type="auto"/>
            <w:vAlign w:val="center"/>
            <w:hideMark/>
          </w:tcPr>
          <w:p w14:paraId="6BCB3698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Parameter</w:t>
            </w:r>
          </w:p>
        </w:tc>
        <w:tc>
          <w:tcPr>
            <w:tcW w:w="4350" w:type="dxa"/>
            <w:vAlign w:val="center"/>
            <w:hideMark/>
          </w:tcPr>
          <w:p w14:paraId="6DFA60EC" w14:textId="77777777" w:rsidR="00DF75BA" w:rsidRPr="00DF75BA" w:rsidRDefault="00DF75BA" w:rsidP="008F515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Value</w:t>
            </w:r>
          </w:p>
        </w:tc>
      </w:tr>
      <w:tr w:rsidR="008F5156" w:rsidRPr="00DF75BA" w14:paraId="0FEFCFFA" w14:textId="77777777" w:rsidTr="008F5156">
        <w:trPr>
          <w:trHeight w:val="979"/>
        </w:trPr>
        <w:tc>
          <w:tcPr>
            <w:tcW w:w="0" w:type="auto"/>
            <w:vAlign w:val="center"/>
            <w:hideMark/>
          </w:tcPr>
          <w:p w14:paraId="7B64F92C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Rated Voltage</w:t>
            </w:r>
          </w:p>
        </w:tc>
        <w:tc>
          <w:tcPr>
            <w:tcW w:w="4350" w:type="dxa"/>
            <w:vAlign w:val="center"/>
            <w:hideMark/>
          </w:tcPr>
          <w:p w14:paraId="6BB8144D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11 kV</w:t>
            </w:r>
          </w:p>
        </w:tc>
      </w:tr>
      <w:tr w:rsidR="008F5156" w:rsidRPr="00DF75BA" w14:paraId="47745963" w14:textId="77777777" w:rsidTr="008F5156">
        <w:trPr>
          <w:trHeight w:val="937"/>
        </w:trPr>
        <w:tc>
          <w:tcPr>
            <w:tcW w:w="0" w:type="auto"/>
            <w:vAlign w:val="center"/>
            <w:hideMark/>
          </w:tcPr>
          <w:p w14:paraId="7E0A62FD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Rated Current</w:t>
            </w:r>
          </w:p>
        </w:tc>
        <w:tc>
          <w:tcPr>
            <w:tcW w:w="4350" w:type="dxa"/>
            <w:vAlign w:val="center"/>
            <w:hideMark/>
          </w:tcPr>
          <w:p w14:paraId="6F847473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100 A to 200 A</w:t>
            </w:r>
          </w:p>
        </w:tc>
      </w:tr>
      <w:tr w:rsidR="008F5156" w:rsidRPr="00DF75BA" w14:paraId="525B0B8D" w14:textId="77777777" w:rsidTr="008F5156">
        <w:trPr>
          <w:trHeight w:val="979"/>
        </w:trPr>
        <w:tc>
          <w:tcPr>
            <w:tcW w:w="0" w:type="auto"/>
            <w:vAlign w:val="center"/>
            <w:hideMark/>
          </w:tcPr>
          <w:p w14:paraId="5595FD4F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Breaking Capacity</w:t>
            </w:r>
          </w:p>
        </w:tc>
        <w:tc>
          <w:tcPr>
            <w:tcW w:w="4350" w:type="dxa"/>
            <w:vAlign w:val="center"/>
            <w:hideMark/>
          </w:tcPr>
          <w:p w14:paraId="7623B170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Up to 10 kA</w:t>
            </w:r>
          </w:p>
        </w:tc>
      </w:tr>
      <w:tr w:rsidR="008F5156" w:rsidRPr="00DF75BA" w14:paraId="7D1DF6F5" w14:textId="77777777" w:rsidTr="008F5156">
        <w:trPr>
          <w:trHeight w:val="979"/>
        </w:trPr>
        <w:tc>
          <w:tcPr>
            <w:tcW w:w="0" w:type="auto"/>
            <w:vAlign w:val="center"/>
            <w:hideMark/>
          </w:tcPr>
          <w:p w14:paraId="09D6EF6D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Insulation Type</w:t>
            </w:r>
          </w:p>
        </w:tc>
        <w:tc>
          <w:tcPr>
            <w:tcW w:w="4350" w:type="dxa"/>
            <w:vAlign w:val="center"/>
            <w:hideMark/>
          </w:tcPr>
          <w:p w14:paraId="15ABDBDA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Porcelain / Polymeric</w:t>
            </w:r>
          </w:p>
        </w:tc>
      </w:tr>
      <w:tr w:rsidR="008F5156" w:rsidRPr="00DF75BA" w14:paraId="3731D8D9" w14:textId="77777777" w:rsidTr="008F5156">
        <w:trPr>
          <w:trHeight w:val="979"/>
        </w:trPr>
        <w:tc>
          <w:tcPr>
            <w:tcW w:w="0" w:type="auto"/>
            <w:vAlign w:val="center"/>
            <w:hideMark/>
          </w:tcPr>
          <w:p w14:paraId="01982120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Mounting</w:t>
            </w:r>
          </w:p>
        </w:tc>
        <w:tc>
          <w:tcPr>
            <w:tcW w:w="4350" w:type="dxa"/>
            <w:vAlign w:val="center"/>
            <w:hideMark/>
          </w:tcPr>
          <w:p w14:paraId="443B6F83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Pole-mounted</w:t>
            </w:r>
          </w:p>
        </w:tc>
      </w:tr>
      <w:tr w:rsidR="008F5156" w:rsidRPr="00DF75BA" w14:paraId="529B0934" w14:textId="77777777" w:rsidTr="008F5156">
        <w:trPr>
          <w:trHeight w:val="979"/>
        </w:trPr>
        <w:tc>
          <w:tcPr>
            <w:tcW w:w="0" w:type="auto"/>
            <w:vAlign w:val="center"/>
            <w:hideMark/>
          </w:tcPr>
          <w:p w14:paraId="0E58BD20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Operating Temperature</w:t>
            </w:r>
          </w:p>
        </w:tc>
        <w:tc>
          <w:tcPr>
            <w:tcW w:w="4350" w:type="dxa"/>
            <w:vAlign w:val="center"/>
            <w:hideMark/>
          </w:tcPr>
          <w:p w14:paraId="7D5C2241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-10°C to +55°C</w:t>
            </w:r>
          </w:p>
        </w:tc>
      </w:tr>
      <w:tr w:rsidR="008F5156" w:rsidRPr="00DF75BA" w14:paraId="07F1E325" w14:textId="77777777" w:rsidTr="008F5156">
        <w:trPr>
          <w:trHeight w:val="937"/>
        </w:trPr>
        <w:tc>
          <w:tcPr>
            <w:tcW w:w="0" w:type="auto"/>
            <w:vAlign w:val="center"/>
            <w:hideMark/>
          </w:tcPr>
          <w:p w14:paraId="20BCF7D2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Standard Compliance</w:t>
            </w:r>
          </w:p>
        </w:tc>
        <w:tc>
          <w:tcPr>
            <w:tcW w:w="4350" w:type="dxa"/>
            <w:vAlign w:val="center"/>
            <w:hideMark/>
          </w:tcPr>
          <w:p w14:paraId="0C7BE44C" w14:textId="77777777" w:rsidR="00DF75BA" w:rsidRPr="00DF75BA" w:rsidRDefault="00DF75BA" w:rsidP="00DF75B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DF75BA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IS 9385 / IEC 60282-2</w:t>
            </w:r>
          </w:p>
        </w:tc>
      </w:tr>
    </w:tbl>
    <w:p w14:paraId="1DF0A550" w14:textId="77777777" w:rsidR="00DF75BA" w:rsidRDefault="00DF75BA" w:rsidP="00DF75BA">
      <w:pPr>
        <w:rPr>
          <w:rFonts w:ascii="Times New Roman" w:hAnsi="Times New Roman" w:cs="Times New Roman"/>
          <w:b/>
          <w:bCs/>
          <w:sz w:val="40"/>
          <w:szCs w:val="32"/>
        </w:rPr>
      </w:pPr>
    </w:p>
    <w:p w14:paraId="13773729" w14:textId="683644C4" w:rsidR="00DF75BA" w:rsidRPr="00DF75BA" w:rsidRDefault="00DF75BA" w:rsidP="00DF75BA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DF75BA">
        <w:rPr>
          <w:rFonts w:ascii="Times New Roman" w:hAnsi="Times New Roman" w:cs="Times New Roman"/>
          <w:b/>
          <w:bCs/>
          <w:sz w:val="40"/>
          <w:szCs w:val="32"/>
        </w:rPr>
        <w:t>5. Applications</w:t>
      </w:r>
      <w:r w:rsidR="003100FD">
        <w:rPr>
          <w:rFonts w:ascii="Times New Roman" w:hAnsi="Times New Roman" w:cs="Times New Roman"/>
          <w:b/>
          <w:bCs/>
          <w:sz w:val="40"/>
          <w:szCs w:val="32"/>
        </w:rPr>
        <w:t>:-</w:t>
      </w:r>
    </w:p>
    <w:p w14:paraId="5F8BCD13" w14:textId="77777777" w:rsidR="00DF75BA" w:rsidRPr="00DF75BA" w:rsidRDefault="00DF75BA" w:rsidP="00DF75BA">
      <w:pPr>
        <w:numPr>
          <w:ilvl w:val="0"/>
          <w:numId w:val="3"/>
        </w:numPr>
        <w:spacing w:line="240" w:lineRule="auto"/>
        <w:rPr>
          <w:sz w:val="32"/>
          <w:szCs w:val="24"/>
        </w:rPr>
      </w:pPr>
      <w:r w:rsidRPr="00DF75BA">
        <w:rPr>
          <w:sz w:val="32"/>
          <w:szCs w:val="24"/>
        </w:rPr>
        <w:t>Protection of distribution transformers</w:t>
      </w:r>
    </w:p>
    <w:p w14:paraId="1147400D" w14:textId="77777777" w:rsidR="00DF75BA" w:rsidRPr="00DF75BA" w:rsidRDefault="00DF75BA" w:rsidP="00DF75BA">
      <w:pPr>
        <w:numPr>
          <w:ilvl w:val="0"/>
          <w:numId w:val="3"/>
        </w:numPr>
        <w:rPr>
          <w:sz w:val="32"/>
          <w:szCs w:val="24"/>
        </w:rPr>
      </w:pPr>
      <w:r w:rsidRPr="00DF75BA">
        <w:rPr>
          <w:sz w:val="32"/>
          <w:szCs w:val="24"/>
        </w:rPr>
        <w:t>Isolation of faulty sections in overhead lines</w:t>
      </w:r>
    </w:p>
    <w:p w14:paraId="7570E6A5" w14:textId="77777777" w:rsidR="00DF75BA" w:rsidRPr="00DF75BA" w:rsidRDefault="00DF75BA" w:rsidP="00DF75BA">
      <w:pPr>
        <w:numPr>
          <w:ilvl w:val="0"/>
          <w:numId w:val="3"/>
        </w:numPr>
        <w:rPr>
          <w:sz w:val="32"/>
          <w:szCs w:val="24"/>
        </w:rPr>
      </w:pPr>
      <w:r w:rsidRPr="00DF75BA">
        <w:rPr>
          <w:sz w:val="32"/>
          <w:szCs w:val="24"/>
        </w:rPr>
        <w:t>Tap-off points in rural electrification</w:t>
      </w:r>
    </w:p>
    <w:p w14:paraId="074D436D" w14:textId="77777777" w:rsidR="00DF75BA" w:rsidRDefault="00DF75BA" w:rsidP="00DF75BA">
      <w:pPr>
        <w:numPr>
          <w:ilvl w:val="0"/>
          <w:numId w:val="3"/>
        </w:numPr>
        <w:rPr>
          <w:sz w:val="32"/>
          <w:szCs w:val="24"/>
        </w:rPr>
      </w:pPr>
      <w:r w:rsidRPr="00DF75BA">
        <w:rPr>
          <w:sz w:val="32"/>
          <w:szCs w:val="24"/>
        </w:rPr>
        <w:t>Substation feeder protection</w:t>
      </w:r>
    </w:p>
    <w:p w14:paraId="2661541A" w14:textId="77777777" w:rsidR="003100FD" w:rsidRPr="00DF75BA" w:rsidRDefault="003100FD" w:rsidP="003100FD">
      <w:pPr>
        <w:ind w:left="720"/>
        <w:rPr>
          <w:sz w:val="32"/>
          <w:szCs w:val="24"/>
        </w:rPr>
      </w:pPr>
    </w:p>
    <w:p w14:paraId="4DCB98FD" w14:textId="5EF2166A" w:rsidR="003100FD" w:rsidRPr="003100FD" w:rsidRDefault="003100FD" w:rsidP="003100FD">
      <w:pPr>
        <w:pStyle w:val="NormalWeb"/>
        <w:rPr>
          <w:b/>
          <w:bCs/>
          <w:sz w:val="40"/>
          <w:szCs w:val="40"/>
        </w:rPr>
      </w:pPr>
      <w:r w:rsidRPr="003100FD">
        <w:rPr>
          <w:b/>
          <w:bCs/>
          <w:sz w:val="40"/>
          <w:szCs w:val="40"/>
        </w:rPr>
        <w:t>6. Advantages</w:t>
      </w:r>
      <w:r>
        <w:rPr>
          <w:b/>
          <w:bCs/>
          <w:sz w:val="40"/>
          <w:szCs w:val="40"/>
        </w:rPr>
        <w:t>:-</w:t>
      </w:r>
    </w:p>
    <w:p w14:paraId="16B91022" w14:textId="77777777" w:rsidR="003100FD" w:rsidRDefault="003100FD" w:rsidP="003100FD">
      <w:pPr>
        <w:pStyle w:val="NormalWeb"/>
        <w:ind w:left="360"/>
        <w:rPr>
          <w:sz w:val="32"/>
          <w:szCs w:val="32"/>
        </w:rPr>
      </w:pPr>
      <w:r w:rsidRPr="003100FD">
        <w:rPr>
          <w:rFonts w:ascii="Segoe UI Emoji" w:hAnsi="Segoe UI Emoji" w:cs="Segoe UI Emoji"/>
          <w:sz w:val="32"/>
          <w:szCs w:val="32"/>
        </w:rPr>
        <w:t>✅</w:t>
      </w:r>
      <w:r w:rsidRPr="003100FD">
        <w:rPr>
          <w:sz w:val="32"/>
          <w:szCs w:val="32"/>
        </w:rPr>
        <w:t xml:space="preserve"> </w:t>
      </w:r>
      <w:r w:rsidRPr="003100FD">
        <w:rPr>
          <w:rStyle w:val="Strong"/>
          <w:rFonts w:eastAsiaTheme="majorEastAsia"/>
          <w:sz w:val="32"/>
          <w:szCs w:val="32"/>
        </w:rPr>
        <w:t>Cost-effective</w:t>
      </w:r>
      <w:r w:rsidRPr="003100FD">
        <w:rPr>
          <w:sz w:val="32"/>
          <w:szCs w:val="32"/>
        </w:rPr>
        <w:t xml:space="preserve"> protection</w:t>
      </w:r>
      <w:r w:rsidRPr="003100FD">
        <w:rPr>
          <w:sz w:val="32"/>
          <w:szCs w:val="32"/>
        </w:rPr>
        <w:br/>
      </w:r>
      <w:r w:rsidRPr="003100FD">
        <w:rPr>
          <w:rFonts w:ascii="Segoe UI Emoji" w:hAnsi="Segoe UI Emoji" w:cs="Segoe UI Emoji"/>
          <w:sz w:val="32"/>
          <w:szCs w:val="32"/>
        </w:rPr>
        <w:t>✅</w:t>
      </w:r>
      <w:r w:rsidRPr="003100FD">
        <w:rPr>
          <w:sz w:val="32"/>
          <w:szCs w:val="32"/>
        </w:rPr>
        <w:t xml:space="preserve"> </w:t>
      </w:r>
      <w:r w:rsidRPr="003100FD">
        <w:rPr>
          <w:rStyle w:val="Strong"/>
          <w:rFonts w:eastAsiaTheme="majorEastAsia"/>
          <w:sz w:val="32"/>
          <w:szCs w:val="32"/>
        </w:rPr>
        <w:t>Simple visual indication</w:t>
      </w:r>
      <w:r w:rsidRPr="003100FD">
        <w:rPr>
          <w:sz w:val="32"/>
          <w:szCs w:val="32"/>
        </w:rPr>
        <w:t xml:space="preserve"> of fuse operation</w:t>
      </w:r>
      <w:r w:rsidRPr="003100FD">
        <w:rPr>
          <w:sz w:val="32"/>
          <w:szCs w:val="32"/>
        </w:rPr>
        <w:br/>
      </w:r>
      <w:r w:rsidRPr="003100FD">
        <w:rPr>
          <w:rFonts w:ascii="Segoe UI Emoji" w:hAnsi="Segoe UI Emoji" w:cs="Segoe UI Emoji"/>
          <w:sz w:val="32"/>
          <w:szCs w:val="32"/>
        </w:rPr>
        <w:t>✅</w:t>
      </w:r>
      <w:r w:rsidRPr="003100FD">
        <w:rPr>
          <w:sz w:val="32"/>
          <w:szCs w:val="32"/>
        </w:rPr>
        <w:t xml:space="preserve"> </w:t>
      </w:r>
      <w:r w:rsidRPr="003100FD">
        <w:rPr>
          <w:rStyle w:val="Strong"/>
          <w:rFonts w:eastAsiaTheme="majorEastAsia"/>
          <w:sz w:val="32"/>
          <w:szCs w:val="32"/>
        </w:rPr>
        <w:t>Easy to replace</w:t>
      </w:r>
      <w:r w:rsidRPr="003100FD">
        <w:rPr>
          <w:sz w:val="32"/>
          <w:szCs w:val="32"/>
        </w:rPr>
        <w:t xml:space="preserve"> fuse links</w:t>
      </w:r>
      <w:r w:rsidRPr="003100FD">
        <w:rPr>
          <w:sz w:val="32"/>
          <w:szCs w:val="32"/>
        </w:rPr>
        <w:br/>
      </w:r>
      <w:r w:rsidRPr="003100FD">
        <w:rPr>
          <w:rFonts w:ascii="Segoe UI Emoji" w:hAnsi="Segoe UI Emoji" w:cs="Segoe UI Emoji"/>
          <w:sz w:val="32"/>
          <w:szCs w:val="32"/>
        </w:rPr>
        <w:t>✅</w:t>
      </w:r>
      <w:r w:rsidRPr="003100FD">
        <w:rPr>
          <w:sz w:val="32"/>
          <w:szCs w:val="32"/>
        </w:rPr>
        <w:t xml:space="preserve"> </w:t>
      </w:r>
      <w:r w:rsidRPr="003100FD">
        <w:rPr>
          <w:rStyle w:val="Strong"/>
          <w:rFonts w:eastAsiaTheme="majorEastAsia"/>
          <w:sz w:val="32"/>
          <w:szCs w:val="32"/>
        </w:rPr>
        <w:t>Minimal maintenance</w:t>
      </w:r>
      <w:r w:rsidRPr="003100FD">
        <w:rPr>
          <w:sz w:val="32"/>
          <w:szCs w:val="32"/>
        </w:rPr>
        <w:t xml:space="preserve"> required</w:t>
      </w:r>
      <w:r w:rsidRPr="003100FD">
        <w:rPr>
          <w:sz w:val="32"/>
          <w:szCs w:val="32"/>
        </w:rPr>
        <w:br/>
      </w:r>
      <w:r w:rsidRPr="003100FD">
        <w:rPr>
          <w:rFonts w:ascii="Segoe UI Emoji" w:hAnsi="Segoe UI Emoji" w:cs="Segoe UI Emoji"/>
          <w:sz w:val="32"/>
          <w:szCs w:val="32"/>
        </w:rPr>
        <w:t>✅</w:t>
      </w:r>
      <w:r w:rsidRPr="003100FD">
        <w:rPr>
          <w:sz w:val="32"/>
          <w:szCs w:val="32"/>
        </w:rPr>
        <w:t xml:space="preserve"> </w:t>
      </w:r>
      <w:r w:rsidRPr="003100FD">
        <w:rPr>
          <w:rStyle w:val="Strong"/>
          <w:rFonts w:eastAsiaTheme="majorEastAsia"/>
          <w:sz w:val="32"/>
          <w:szCs w:val="32"/>
        </w:rPr>
        <w:t>Improved safety</w:t>
      </w:r>
      <w:r w:rsidRPr="003100FD">
        <w:rPr>
          <w:sz w:val="32"/>
          <w:szCs w:val="32"/>
        </w:rPr>
        <w:t xml:space="preserve"> during maintenance due to visible isolation</w:t>
      </w:r>
    </w:p>
    <w:p w14:paraId="738F75D4" w14:textId="77777777" w:rsidR="003100FD" w:rsidRDefault="003100FD" w:rsidP="003100FD">
      <w:pPr>
        <w:pStyle w:val="NormalWeb"/>
        <w:ind w:left="360"/>
        <w:rPr>
          <w:sz w:val="32"/>
          <w:szCs w:val="32"/>
        </w:rPr>
      </w:pPr>
    </w:p>
    <w:p w14:paraId="0EF10BA6" w14:textId="3C7FE3E4" w:rsidR="003100FD" w:rsidRPr="008F5156" w:rsidRDefault="008F5156" w:rsidP="003100FD">
      <w:pPr>
        <w:pStyle w:val="NormalWeb"/>
        <w:ind w:left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7.</w:t>
      </w:r>
      <w:r w:rsidR="003100FD" w:rsidRPr="008F5156">
        <w:rPr>
          <w:b/>
          <w:bCs/>
          <w:sz w:val="40"/>
          <w:szCs w:val="40"/>
        </w:rPr>
        <w:t>Diagram:-</w:t>
      </w:r>
    </w:p>
    <w:p w14:paraId="4257F8F0" w14:textId="0C8DE139" w:rsidR="003100FD" w:rsidRPr="003100FD" w:rsidRDefault="003100FD" w:rsidP="003100FD">
      <w:pPr>
        <w:pStyle w:val="NormalWeb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4F43F37C" wp14:editId="007AD6DF">
            <wp:extent cx="5386978" cy="2926080"/>
            <wp:effectExtent l="19050" t="19050" r="23495" b="26670"/>
            <wp:docPr id="208037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811" cy="2928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4EF1F" w14:textId="77777777" w:rsidR="008F5156" w:rsidRDefault="008F5156" w:rsidP="008F5156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8F5156">
        <w:rPr>
          <w:rFonts w:ascii="Times New Roman" w:hAnsi="Times New Roman" w:cs="Times New Roman"/>
          <w:b/>
          <w:bCs/>
          <w:noProof/>
          <w:sz w:val="40"/>
          <w:szCs w:val="32"/>
        </w:rPr>
        <w:lastRenderedPageBreak/>
        <w:drawing>
          <wp:inline distT="0" distB="0" distL="0" distR="0" wp14:anchorId="61C9BE97" wp14:editId="4CA403A5">
            <wp:extent cx="5731510" cy="5731510"/>
            <wp:effectExtent l="19050" t="19050" r="21590" b="21590"/>
            <wp:docPr id="1498096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6E1B80" w14:textId="77777777" w:rsidR="008F5156" w:rsidRDefault="008F5156" w:rsidP="008F5156">
      <w:pPr>
        <w:rPr>
          <w:rFonts w:ascii="Times New Roman" w:hAnsi="Times New Roman" w:cs="Times New Roman"/>
          <w:b/>
          <w:bCs/>
          <w:sz w:val="40"/>
          <w:szCs w:val="32"/>
        </w:rPr>
      </w:pPr>
    </w:p>
    <w:p w14:paraId="406D1464" w14:textId="44F642D1" w:rsidR="008F5156" w:rsidRPr="003100FD" w:rsidRDefault="008F5156" w:rsidP="008F5156">
      <w:pPr>
        <w:rPr>
          <w:rFonts w:ascii="Times New Roman" w:hAnsi="Times New Roman" w:cs="Times New Roman"/>
          <w:b/>
          <w:bCs/>
          <w:sz w:val="40"/>
          <w:szCs w:val="32"/>
        </w:rPr>
      </w:pPr>
      <w:r w:rsidRPr="003100FD">
        <w:rPr>
          <w:rFonts w:ascii="Times New Roman" w:hAnsi="Times New Roman" w:cs="Times New Roman"/>
          <w:b/>
          <w:bCs/>
          <w:sz w:val="40"/>
          <w:szCs w:val="32"/>
        </w:rPr>
        <w:t>8. Safety Considerations</w:t>
      </w:r>
      <w:r>
        <w:rPr>
          <w:rFonts w:ascii="Times New Roman" w:hAnsi="Times New Roman" w:cs="Times New Roman"/>
          <w:b/>
          <w:bCs/>
          <w:sz w:val="40"/>
          <w:szCs w:val="32"/>
        </w:rPr>
        <w:t>:-</w:t>
      </w:r>
    </w:p>
    <w:p w14:paraId="33B42110" w14:textId="77777777" w:rsidR="008F5156" w:rsidRPr="003100FD" w:rsidRDefault="008F5156" w:rsidP="008F5156">
      <w:pPr>
        <w:numPr>
          <w:ilvl w:val="0"/>
          <w:numId w:val="4"/>
        </w:numPr>
        <w:rPr>
          <w:sz w:val="32"/>
          <w:szCs w:val="24"/>
        </w:rPr>
      </w:pPr>
      <w:r w:rsidRPr="003100FD">
        <w:rPr>
          <w:sz w:val="32"/>
          <w:szCs w:val="24"/>
        </w:rPr>
        <w:t>Always isolate upstream supply before replacing fuse links.</w:t>
      </w:r>
    </w:p>
    <w:p w14:paraId="20652966" w14:textId="77777777" w:rsidR="008F5156" w:rsidRPr="003100FD" w:rsidRDefault="008F5156" w:rsidP="008F5156">
      <w:pPr>
        <w:numPr>
          <w:ilvl w:val="0"/>
          <w:numId w:val="4"/>
        </w:numPr>
        <w:rPr>
          <w:sz w:val="32"/>
          <w:szCs w:val="24"/>
        </w:rPr>
      </w:pPr>
      <w:r w:rsidRPr="003100FD">
        <w:rPr>
          <w:sz w:val="32"/>
          <w:szCs w:val="24"/>
        </w:rPr>
        <w:t>Use insulated tools and PPE.</w:t>
      </w:r>
    </w:p>
    <w:p w14:paraId="63F1E593" w14:textId="77777777" w:rsidR="008F5156" w:rsidRPr="003100FD" w:rsidRDefault="008F5156" w:rsidP="008F5156">
      <w:pPr>
        <w:numPr>
          <w:ilvl w:val="0"/>
          <w:numId w:val="4"/>
        </w:numPr>
        <w:rPr>
          <w:sz w:val="32"/>
          <w:szCs w:val="24"/>
        </w:rPr>
      </w:pPr>
      <w:r w:rsidRPr="003100FD">
        <w:rPr>
          <w:sz w:val="32"/>
          <w:szCs w:val="24"/>
        </w:rPr>
        <w:t>Ensure proper earthing of the system.</w:t>
      </w:r>
    </w:p>
    <w:p w14:paraId="52012918" w14:textId="77777777" w:rsidR="008F5156" w:rsidRDefault="008F5156" w:rsidP="008F5156">
      <w:pPr>
        <w:numPr>
          <w:ilvl w:val="0"/>
          <w:numId w:val="4"/>
        </w:numPr>
        <w:rPr>
          <w:sz w:val="32"/>
          <w:szCs w:val="24"/>
        </w:rPr>
      </w:pPr>
      <w:r w:rsidRPr="003100FD">
        <w:rPr>
          <w:sz w:val="32"/>
          <w:szCs w:val="24"/>
        </w:rPr>
        <w:t>Regular inspection for corrosion or mechanical wear.</w:t>
      </w:r>
    </w:p>
    <w:p w14:paraId="713100D0" w14:textId="77777777" w:rsidR="008F5156" w:rsidRPr="003100FD" w:rsidRDefault="008F5156" w:rsidP="008F5156">
      <w:pPr>
        <w:ind w:left="720"/>
        <w:rPr>
          <w:sz w:val="32"/>
          <w:szCs w:val="24"/>
        </w:rPr>
      </w:pPr>
    </w:p>
    <w:p w14:paraId="78FC75CA" w14:textId="7DCEA0BF" w:rsidR="003100FD" w:rsidRDefault="00B70D27" w:rsidP="003100FD">
      <w:pPr>
        <w:rPr>
          <w:rFonts w:ascii="Times New Roman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32"/>
        </w:rPr>
        <w:lastRenderedPageBreak/>
        <w:t>9</w:t>
      </w:r>
      <w:r w:rsidR="003100FD" w:rsidRPr="003100FD">
        <w:rPr>
          <w:rFonts w:ascii="Times New Roman" w:hAnsi="Times New Roman" w:cs="Times New Roman"/>
          <w:b/>
          <w:bCs/>
          <w:sz w:val="40"/>
          <w:szCs w:val="32"/>
        </w:rPr>
        <w:t>. Comparison: DOF vs</w:t>
      </w:r>
      <w:r w:rsidR="003100FD">
        <w:rPr>
          <w:rFonts w:ascii="Times New Roman" w:hAnsi="Times New Roman" w:cs="Times New Roman"/>
          <w:b/>
          <w:bCs/>
          <w:sz w:val="40"/>
          <w:szCs w:val="32"/>
        </w:rPr>
        <w:t xml:space="preserve"> </w:t>
      </w:r>
      <w:r w:rsidR="003100FD" w:rsidRPr="003100FD">
        <w:rPr>
          <w:rFonts w:ascii="Times New Roman" w:hAnsi="Times New Roman" w:cs="Times New Roman"/>
          <w:b/>
          <w:bCs/>
          <w:sz w:val="40"/>
          <w:szCs w:val="32"/>
        </w:rPr>
        <w:t>Isolator Switch</w:t>
      </w:r>
      <w:r w:rsidR="003100FD">
        <w:rPr>
          <w:rFonts w:ascii="Times New Roman" w:hAnsi="Times New Roman" w:cs="Times New Roman"/>
          <w:b/>
          <w:bCs/>
          <w:sz w:val="40"/>
          <w:szCs w:val="32"/>
        </w:rPr>
        <w:t>:-</w:t>
      </w:r>
    </w:p>
    <w:p w14:paraId="0F3A3F45" w14:textId="77777777" w:rsidR="008F5156" w:rsidRPr="003100FD" w:rsidRDefault="008F5156" w:rsidP="003100FD">
      <w:pPr>
        <w:rPr>
          <w:rFonts w:ascii="Times New Roman" w:hAnsi="Times New Roman" w:cs="Times New Roman"/>
          <w:b/>
          <w:bCs/>
          <w:sz w:val="40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3"/>
        <w:gridCol w:w="3260"/>
        <w:gridCol w:w="3143"/>
      </w:tblGrid>
      <w:tr w:rsidR="003100FD" w:rsidRPr="003100FD" w14:paraId="6AB41E16" w14:textId="77777777" w:rsidTr="003100FD">
        <w:tc>
          <w:tcPr>
            <w:tcW w:w="0" w:type="auto"/>
            <w:vAlign w:val="center"/>
            <w:hideMark/>
          </w:tcPr>
          <w:p w14:paraId="083FBD99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b/>
                <w:bCs/>
                <w:sz w:val="32"/>
                <w:szCs w:val="24"/>
              </w:rPr>
            </w:pPr>
            <w:r w:rsidRPr="003100FD">
              <w:rPr>
                <w:b/>
                <w:bCs/>
                <w:sz w:val="32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5949C3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b/>
                <w:bCs/>
                <w:sz w:val="32"/>
                <w:szCs w:val="24"/>
              </w:rPr>
            </w:pPr>
            <w:r w:rsidRPr="003100FD">
              <w:rPr>
                <w:b/>
                <w:bCs/>
                <w:sz w:val="32"/>
                <w:szCs w:val="24"/>
              </w:rPr>
              <w:t>Drop-Out Fuse (DOF)</w:t>
            </w:r>
          </w:p>
        </w:tc>
        <w:tc>
          <w:tcPr>
            <w:tcW w:w="0" w:type="auto"/>
            <w:vAlign w:val="center"/>
            <w:hideMark/>
          </w:tcPr>
          <w:p w14:paraId="4C6F73A3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b/>
                <w:bCs/>
                <w:sz w:val="32"/>
                <w:szCs w:val="24"/>
              </w:rPr>
            </w:pPr>
            <w:r w:rsidRPr="003100FD">
              <w:rPr>
                <w:b/>
                <w:bCs/>
                <w:sz w:val="32"/>
                <w:szCs w:val="24"/>
              </w:rPr>
              <w:t>Isolator Switch</w:t>
            </w:r>
          </w:p>
        </w:tc>
      </w:tr>
      <w:tr w:rsidR="003100FD" w:rsidRPr="003100FD" w14:paraId="522F733E" w14:textId="77777777" w:rsidTr="003100FD">
        <w:tc>
          <w:tcPr>
            <w:tcW w:w="0" w:type="auto"/>
            <w:vAlign w:val="center"/>
            <w:hideMark/>
          </w:tcPr>
          <w:p w14:paraId="1AF32516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7CE27077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Yes (fuse link melts)</w:t>
            </w:r>
          </w:p>
        </w:tc>
        <w:tc>
          <w:tcPr>
            <w:tcW w:w="0" w:type="auto"/>
            <w:vAlign w:val="center"/>
            <w:hideMark/>
          </w:tcPr>
          <w:p w14:paraId="16017D45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No (manual operation only)</w:t>
            </w:r>
          </w:p>
        </w:tc>
      </w:tr>
      <w:tr w:rsidR="003100FD" w:rsidRPr="003100FD" w14:paraId="74EB3E33" w14:textId="77777777" w:rsidTr="003100FD">
        <w:tc>
          <w:tcPr>
            <w:tcW w:w="0" w:type="auto"/>
            <w:vAlign w:val="center"/>
            <w:hideMark/>
          </w:tcPr>
          <w:p w14:paraId="0164EDB0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Visual Disconnection</w:t>
            </w:r>
          </w:p>
        </w:tc>
        <w:tc>
          <w:tcPr>
            <w:tcW w:w="0" w:type="auto"/>
            <w:vAlign w:val="center"/>
            <w:hideMark/>
          </w:tcPr>
          <w:p w14:paraId="17FF3C73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Yes (fuse carrier drops)</w:t>
            </w:r>
          </w:p>
        </w:tc>
        <w:tc>
          <w:tcPr>
            <w:tcW w:w="0" w:type="auto"/>
            <w:vAlign w:val="center"/>
            <w:hideMark/>
          </w:tcPr>
          <w:p w14:paraId="35BED482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Yes (manual open/close)</w:t>
            </w:r>
          </w:p>
        </w:tc>
      </w:tr>
      <w:tr w:rsidR="003100FD" w:rsidRPr="003100FD" w14:paraId="5DE61E8B" w14:textId="77777777" w:rsidTr="003100FD">
        <w:tc>
          <w:tcPr>
            <w:tcW w:w="0" w:type="auto"/>
            <w:vAlign w:val="center"/>
            <w:hideMark/>
          </w:tcPr>
          <w:p w14:paraId="7FBE313F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E742E81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A28E501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Manual or motorized</w:t>
            </w:r>
          </w:p>
        </w:tc>
      </w:tr>
      <w:tr w:rsidR="003100FD" w:rsidRPr="003100FD" w14:paraId="151CEB59" w14:textId="77777777" w:rsidTr="003100FD">
        <w:tc>
          <w:tcPr>
            <w:tcW w:w="0" w:type="auto"/>
            <w:vAlign w:val="center"/>
            <w:hideMark/>
          </w:tcPr>
          <w:p w14:paraId="602EA9C3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93393EC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ABECF20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Higher</w:t>
            </w:r>
          </w:p>
        </w:tc>
      </w:tr>
      <w:tr w:rsidR="003100FD" w:rsidRPr="003100FD" w14:paraId="70ACE9D6" w14:textId="77777777" w:rsidTr="003100FD">
        <w:tc>
          <w:tcPr>
            <w:tcW w:w="0" w:type="auto"/>
            <w:vAlign w:val="center"/>
            <w:hideMark/>
          </w:tcPr>
          <w:p w14:paraId="117D7E51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66399C2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60E6106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Moderate</w:t>
            </w:r>
          </w:p>
        </w:tc>
      </w:tr>
      <w:tr w:rsidR="003100FD" w:rsidRPr="003100FD" w14:paraId="0E31581A" w14:textId="77777777" w:rsidTr="003100FD">
        <w:tc>
          <w:tcPr>
            <w:tcW w:w="0" w:type="auto"/>
            <w:vAlign w:val="center"/>
            <w:hideMark/>
          </w:tcPr>
          <w:p w14:paraId="34939B99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DC502F1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Overhead lines, transformers</w:t>
            </w:r>
          </w:p>
        </w:tc>
        <w:tc>
          <w:tcPr>
            <w:tcW w:w="0" w:type="auto"/>
            <w:vAlign w:val="center"/>
            <w:hideMark/>
          </w:tcPr>
          <w:p w14:paraId="2A0EA088" w14:textId="77777777" w:rsidR="003100FD" w:rsidRPr="003100FD" w:rsidRDefault="003100FD" w:rsidP="003100FD">
            <w:pPr>
              <w:spacing w:after="160" w:line="278" w:lineRule="auto"/>
              <w:jc w:val="center"/>
              <w:rPr>
                <w:sz w:val="32"/>
                <w:szCs w:val="24"/>
              </w:rPr>
            </w:pPr>
            <w:r w:rsidRPr="003100FD">
              <w:rPr>
                <w:sz w:val="32"/>
                <w:szCs w:val="24"/>
              </w:rPr>
              <w:t>Substations, switching yards</w:t>
            </w:r>
          </w:p>
        </w:tc>
      </w:tr>
    </w:tbl>
    <w:p w14:paraId="05D9E45E" w14:textId="77777777" w:rsidR="003100FD" w:rsidRDefault="003100FD" w:rsidP="003100FD">
      <w:pPr>
        <w:rPr>
          <w:rFonts w:ascii="Times New Roman" w:hAnsi="Times New Roman" w:cs="Times New Roman"/>
          <w:b/>
          <w:bCs/>
          <w:sz w:val="40"/>
          <w:szCs w:val="32"/>
        </w:rPr>
      </w:pPr>
    </w:p>
    <w:p w14:paraId="4E93A37E" w14:textId="77777777" w:rsidR="00DF75BA" w:rsidRDefault="00DF75BA" w:rsidP="00DF75BA">
      <w:pPr>
        <w:rPr>
          <w:sz w:val="32"/>
          <w:szCs w:val="24"/>
        </w:rPr>
      </w:pPr>
    </w:p>
    <w:p w14:paraId="3CFD5538" w14:textId="271A9046" w:rsidR="003100FD" w:rsidRPr="003100FD" w:rsidRDefault="00B70D27" w:rsidP="003100FD">
      <w:pPr>
        <w:rPr>
          <w:rFonts w:ascii="Times New Roman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b/>
          <w:bCs/>
          <w:sz w:val="40"/>
          <w:szCs w:val="32"/>
        </w:rPr>
        <w:t>10</w:t>
      </w:r>
      <w:r w:rsidR="003100FD" w:rsidRPr="003100FD">
        <w:rPr>
          <w:rFonts w:ascii="Times New Roman" w:hAnsi="Times New Roman" w:cs="Times New Roman"/>
          <w:b/>
          <w:bCs/>
          <w:sz w:val="40"/>
          <w:szCs w:val="32"/>
        </w:rPr>
        <w:t>. Conclusion</w:t>
      </w:r>
      <w:r w:rsidR="003100FD">
        <w:rPr>
          <w:rFonts w:ascii="Times New Roman" w:hAnsi="Times New Roman" w:cs="Times New Roman"/>
          <w:b/>
          <w:bCs/>
          <w:sz w:val="40"/>
          <w:szCs w:val="32"/>
        </w:rPr>
        <w:t>:-</w:t>
      </w:r>
    </w:p>
    <w:p w14:paraId="5DBB2B18" w14:textId="77777777" w:rsidR="003100FD" w:rsidRPr="003100FD" w:rsidRDefault="003100FD" w:rsidP="003100FD">
      <w:pPr>
        <w:rPr>
          <w:sz w:val="32"/>
          <w:szCs w:val="24"/>
        </w:rPr>
      </w:pPr>
      <w:r w:rsidRPr="003100FD">
        <w:rPr>
          <w:sz w:val="32"/>
          <w:szCs w:val="24"/>
        </w:rPr>
        <w:t xml:space="preserve">Drop-Out Fuses are essential for </w:t>
      </w:r>
      <w:r w:rsidRPr="003100FD">
        <w:rPr>
          <w:b/>
          <w:bCs/>
          <w:sz w:val="32"/>
          <w:szCs w:val="24"/>
        </w:rPr>
        <w:t>reliable and safe operation</w:t>
      </w:r>
      <w:r w:rsidRPr="003100FD">
        <w:rPr>
          <w:sz w:val="32"/>
          <w:szCs w:val="24"/>
        </w:rPr>
        <w:t xml:space="preserve"> of medium-voltage distribution networks. Their simplicity, cost-effectiveness, and dual functionality make them a preferred choice in rural and semi-urban power systems.</w:t>
      </w:r>
    </w:p>
    <w:p w14:paraId="35671CF3" w14:textId="77777777" w:rsidR="00B70D27" w:rsidRDefault="00B70D27" w:rsidP="00DF75BA">
      <w:pPr>
        <w:rPr>
          <w:rFonts w:ascii="Times New Roman" w:hAnsi="Times New Roman" w:cs="Times New Roman"/>
          <w:sz w:val="40"/>
          <w:szCs w:val="32"/>
        </w:rPr>
      </w:pPr>
    </w:p>
    <w:p w14:paraId="01FAD3D3" w14:textId="36930F01" w:rsidR="003100FD" w:rsidRPr="00B70D27" w:rsidRDefault="00B70D27" w:rsidP="00DF75BA">
      <w:pPr>
        <w:rPr>
          <w:rFonts w:ascii="Times New Roman" w:hAnsi="Times New Roman" w:cs="Times New Roman"/>
          <w:sz w:val="32"/>
          <w:szCs w:val="24"/>
        </w:rPr>
      </w:pPr>
      <w:r w:rsidRPr="00B70D27">
        <w:rPr>
          <w:rFonts w:ascii="Times New Roman" w:hAnsi="Times New Roman" w:cs="Times New Roman"/>
          <w:b/>
          <w:bCs/>
          <w:sz w:val="40"/>
          <w:szCs w:val="32"/>
        </w:rPr>
        <w:t>Presented By:-</w:t>
      </w:r>
      <w:r w:rsidRPr="00B70D27">
        <w:rPr>
          <w:rFonts w:ascii="Times New Roman" w:hAnsi="Times New Roman" w:cs="Times New Roman"/>
          <w:sz w:val="32"/>
          <w:szCs w:val="24"/>
        </w:rPr>
        <w:t>1)Harshad Gholap</w:t>
      </w:r>
    </w:p>
    <w:p w14:paraId="778B7840" w14:textId="5D472BA2" w:rsidR="00B70D27" w:rsidRPr="00B70D27" w:rsidRDefault="00B70D27" w:rsidP="00DF75BA">
      <w:pPr>
        <w:rPr>
          <w:rFonts w:ascii="Times New Roman" w:hAnsi="Times New Roman" w:cs="Times New Roman"/>
          <w:sz w:val="32"/>
          <w:szCs w:val="24"/>
        </w:rPr>
      </w:pPr>
      <w:r w:rsidRPr="00B70D27">
        <w:rPr>
          <w:rFonts w:ascii="Times New Roman" w:hAnsi="Times New Roman" w:cs="Times New Roman"/>
          <w:sz w:val="32"/>
          <w:szCs w:val="24"/>
        </w:rPr>
        <w:t xml:space="preserve">                        </w:t>
      </w:r>
      <w:r>
        <w:rPr>
          <w:rFonts w:ascii="Times New Roman" w:hAnsi="Times New Roman" w:cs="Times New Roman"/>
          <w:sz w:val="32"/>
          <w:szCs w:val="24"/>
        </w:rPr>
        <w:t xml:space="preserve">        </w:t>
      </w:r>
      <w:r w:rsidRPr="00B70D27">
        <w:rPr>
          <w:rFonts w:ascii="Times New Roman" w:hAnsi="Times New Roman" w:cs="Times New Roman"/>
          <w:sz w:val="32"/>
          <w:szCs w:val="24"/>
        </w:rPr>
        <w:t>2)Atul Yuvare</w:t>
      </w:r>
    </w:p>
    <w:p w14:paraId="7EE60B2D" w14:textId="09188578" w:rsidR="00B70D27" w:rsidRDefault="00B70D27" w:rsidP="00DF75BA">
      <w:pPr>
        <w:rPr>
          <w:rFonts w:ascii="Times New Roman" w:hAnsi="Times New Roman" w:cs="Times New Roman"/>
          <w:sz w:val="40"/>
          <w:szCs w:val="32"/>
        </w:rPr>
      </w:pPr>
      <w:r w:rsidRPr="00B70D27">
        <w:rPr>
          <w:rFonts w:ascii="Times New Roman" w:hAnsi="Times New Roman" w:cs="Times New Roman"/>
          <w:b/>
          <w:bCs/>
          <w:sz w:val="40"/>
          <w:szCs w:val="32"/>
        </w:rPr>
        <w:t>Guide By:-</w:t>
      </w:r>
      <w:proofErr w:type="spellStart"/>
      <w:r w:rsidRPr="00B70D27">
        <w:rPr>
          <w:rFonts w:ascii="Times New Roman" w:hAnsi="Times New Roman" w:cs="Times New Roman"/>
          <w:sz w:val="32"/>
          <w:szCs w:val="24"/>
        </w:rPr>
        <w:t>Prof.Bhushan</w:t>
      </w:r>
      <w:proofErr w:type="spellEnd"/>
      <w:r w:rsidRPr="00B70D27">
        <w:rPr>
          <w:rFonts w:ascii="Times New Roman" w:hAnsi="Times New Roman" w:cs="Times New Roman"/>
          <w:sz w:val="32"/>
          <w:szCs w:val="24"/>
        </w:rPr>
        <w:t xml:space="preserve"> Kadam</w:t>
      </w:r>
    </w:p>
    <w:p w14:paraId="41BD665E" w14:textId="77777777" w:rsidR="00B70D27" w:rsidRPr="00B70D27" w:rsidRDefault="00B70D27" w:rsidP="00DF75BA">
      <w:pPr>
        <w:rPr>
          <w:rFonts w:ascii="Times New Roman" w:hAnsi="Times New Roman" w:cs="Times New Roman"/>
          <w:sz w:val="40"/>
          <w:szCs w:val="32"/>
        </w:rPr>
      </w:pPr>
    </w:p>
    <w:sectPr w:rsidR="00B70D27" w:rsidRPr="00B70D27" w:rsidSect="003100FD">
      <w:footerReference w:type="default" r:id="rId10"/>
      <w:pgSz w:w="11906" w:h="16838" w:code="9"/>
      <w:pgMar w:top="1440" w:right="1440" w:bottom="1440" w:left="1440" w:header="272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DCE1" w14:textId="77777777" w:rsidR="001E0F4D" w:rsidRDefault="001E0F4D" w:rsidP="003100FD">
      <w:pPr>
        <w:spacing w:after="0" w:line="240" w:lineRule="auto"/>
      </w:pPr>
      <w:r>
        <w:separator/>
      </w:r>
    </w:p>
  </w:endnote>
  <w:endnote w:type="continuationSeparator" w:id="0">
    <w:p w14:paraId="5CCAD214" w14:textId="77777777" w:rsidR="001E0F4D" w:rsidRDefault="001E0F4D" w:rsidP="00310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4463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7552E" w14:textId="026AEDEC" w:rsidR="003100FD" w:rsidRDefault="003100F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3018C" w14:textId="77777777" w:rsidR="003100FD" w:rsidRDefault="003100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46A8" w14:textId="77777777" w:rsidR="001E0F4D" w:rsidRDefault="001E0F4D" w:rsidP="003100FD">
      <w:pPr>
        <w:spacing w:after="0" w:line="240" w:lineRule="auto"/>
      </w:pPr>
      <w:r>
        <w:separator/>
      </w:r>
    </w:p>
  </w:footnote>
  <w:footnote w:type="continuationSeparator" w:id="0">
    <w:p w14:paraId="5AD77457" w14:textId="77777777" w:rsidR="001E0F4D" w:rsidRDefault="001E0F4D" w:rsidP="003100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EC"/>
    <w:multiLevelType w:val="multilevel"/>
    <w:tmpl w:val="B9126B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3105B"/>
    <w:multiLevelType w:val="multilevel"/>
    <w:tmpl w:val="2A8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1594B"/>
    <w:multiLevelType w:val="multilevel"/>
    <w:tmpl w:val="D95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F3855"/>
    <w:multiLevelType w:val="multilevel"/>
    <w:tmpl w:val="5958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87148">
    <w:abstractNumId w:val="3"/>
  </w:num>
  <w:num w:numId="2" w16cid:durableId="564687751">
    <w:abstractNumId w:val="2"/>
  </w:num>
  <w:num w:numId="3" w16cid:durableId="1369062065">
    <w:abstractNumId w:val="0"/>
  </w:num>
  <w:num w:numId="4" w16cid:durableId="153762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BA"/>
    <w:rsid w:val="00146919"/>
    <w:rsid w:val="001E0F4D"/>
    <w:rsid w:val="003100FD"/>
    <w:rsid w:val="00716182"/>
    <w:rsid w:val="00765724"/>
    <w:rsid w:val="008F5156"/>
    <w:rsid w:val="00B70D27"/>
    <w:rsid w:val="00CA5857"/>
    <w:rsid w:val="00D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C97A"/>
  <w15:chartTrackingRefBased/>
  <w15:docId w15:val="{9A8B661E-0D97-4226-8C68-96B883C0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5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5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5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75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75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5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F7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00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1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0FD"/>
  </w:style>
  <w:style w:type="paragraph" w:styleId="Footer">
    <w:name w:val="footer"/>
    <w:basedOn w:val="Normal"/>
    <w:link w:val="FooterChar"/>
    <w:uiPriority w:val="99"/>
    <w:unhideWhenUsed/>
    <w:rsid w:val="00310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FF2CC-C4BD-49FB-88B9-5CD018C98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Gholap</dc:creator>
  <cp:keywords/>
  <dc:description/>
  <cp:lastModifiedBy>Akash Gholap</cp:lastModifiedBy>
  <cp:revision>1</cp:revision>
  <dcterms:created xsi:type="dcterms:W3CDTF">2025-11-15T14:05:00Z</dcterms:created>
  <dcterms:modified xsi:type="dcterms:W3CDTF">2025-11-15T14:42:00Z</dcterms:modified>
</cp:coreProperties>
</file>