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33DE39CC"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Down: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85661D">
      <w:pPr>
        <w:ind w:firstLine="36pt"/>
        <w:jc w:val="start"/>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6D120A">
      <w:pPr>
        <w:jc w:val="start"/>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476966">
      <w:pPr>
        <w:jc w:val="both"/>
      </w:pPr>
    </w:p>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precision and recall. </w:t>
      </w:r>
      <w:r w:rsidR="00082265">
        <w:t xml:space="preserve">The precision of a model describes how </w:t>
      </w:r>
      <w:r w:rsidR="00082265">
        <w:lastRenderedPageBreak/>
        <w:t>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6C14017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C848C0">
      <w:pPr>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097235">
      <w:pPr>
        <w:ind w:start="14.4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301F65">
      <w:pPr>
        <w:ind w:start="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t>
      </w:r>
      <w:r w:rsidRPr="00301F65">
        <w:t xml:space="preserve">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2C550CE6" w14:textId="77777777" w:rsidR="00301F65" w:rsidRDefault="00301F65" w:rsidP="00451468">
      <w:pPr>
        <w:jc w:val="both"/>
      </w:pPr>
    </w:p>
    <w:p w14:paraId="0A2EF8D2" w14:textId="30C6DFB8" w:rsidR="00301F65" w:rsidRDefault="00301F65" w:rsidP="00301F65">
      <w:pPr>
        <w:pStyle w:val="Heading4"/>
      </w:pPr>
      <w:r>
        <w:t>Observation</w:t>
      </w:r>
    </w:p>
    <w:p w14:paraId="145E1553" w14:textId="77777777" w:rsidR="00301F65" w:rsidRPr="00301F65" w:rsidRDefault="00301F65" w:rsidP="00301F65">
      <w:pPr>
        <w:ind w:start="36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5761BA69" w14:textId="58E5E5BB" w:rsidR="009303D9" w:rsidRDefault="001B35A3" w:rsidP="00ED0149">
      <w:pPr>
        <w:pStyle w:val="Heading2"/>
      </w:pPr>
      <w:r>
        <w:t xml:space="preserve">Conclusion words… </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F988CE8" w14:textId="3D5A6612" w:rsidR="009303D9" w:rsidRDefault="001B35A3" w:rsidP="00ED0149">
      <w:pPr>
        <w:pStyle w:val="Heading2"/>
      </w:pPr>
      <w:r>
        <w:t>More Words…</w:t>
      </w:r>
    </w:p>
    <w:p w14:paraId="767579B6" w14:textId="17BEA0AB" w:rsidR="009303D9" w:rsidRPr="005B520E" w:rsidRDefault="009303D9" w:rsidP="00476966">
      <w:pPr>
        <w:pStyle w:val="Heading5"/>
      </w:pPr>
      <w:r w:rsidRPr="005B520E">
        <w:t>References</w:t>
      </w:r>
    </w:p>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7"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5777488F" w:rsidR="009303D9" w:rsidRPr="00F96569" w:rsidRDefault="009303D9" w:rsidP="00476966">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1EDC15" w14:textId="77777777" w:rsidR="00B26867" w:rsidRDefault="00B26867" w:rsidP="001A3B3D">
      <w:r>
        <w:separator/>
      </w:r>
    </w:p>
  </w:endnote>
  <w:endnote w:type="continuationSeparator" w:id="0">
    <w:p w14:paraId="6F5D6A82" w14:textId="77777777" w:rsidR="00B26867" w:rsidRDefault="00B268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D60BF7" w14:textId="77777777" w:rsidR="00B26867" w:rsidRDefault="00B26867" w:rsidP="001A3B3D">
      <w:r>
        <w:separator/>
      </w:r>
    </w:p>
  </w:footnote>
  <w:footnote w:type="continuationSeparator" w:id="0">
    <w:p w14:paraId="14746E2A" w14:textId="77777777" w:rsidR="00B26867" w:rsidRDefault="00B268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2265"/>
    <w:rsid w:val="0008758A"/>
    <w:rsid w:val="00097235"/>
    <w:rsid w:val="000A4E59"/>
    <w:rsid w:val="000C1E68"/>
    <w:rsid w:val="000F743A"/>
    <w:rsid w:val="00105A5E"/>
    <w:rsid w:val="0015079E"/>
    <w:rsid w:val="001A2171"/>
    <w:rsid w:val="001A2EFD"/>
    <w:rsid w:val="001A3B3D"/>
    <w:rsid w:val="001A42EA"/>
    <w:rsid w:val="001B35A3"/>
    <w:rsid w:val="001B67DC"/>
    <w:rsid w:val="001D09A4"/>
    <w:rsid w:val="001D7BCF"/>
    <w:rsid w:val="00205418"/>
    <w:rsid w:val="002254A9"/>
    <w:rsid w:val="00233D97"/>
    <w:rsid w:val="00284CE9"/>
    <w:rsid w:val="002850E3"/>
    <w:rsid w:val="002D3C40"/>
    <w:rsid w:val="002F7DE3"/>
    <w:rsid w:val="00301F65"/>
    <w:rsid w:val="00311EE6"/>
    <w:rsid w:val="00354FCF"/>
    <w:rsid w:val="003A19E2"/>
    <w:rsid w:val="004110BF"/>
    <w:rsid w:val="00421EC6"/>
    <w:rsid w:val="004233EE"/>
    <w:rsid w:val="004325FB"/>
    <w:rsid w:val="004432BA"/>
    <w:rsid w:val="0044407E"/>
    <w:rsid w:val="00451468"/>
    <w:rsid w:val="00476966"/>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B6B66"/>
    <w:rsid w:val="006D120A"/>
    <w:rsid w:val="006D4A8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791D"/>
    <w:rsid w:val="008300C1"/>
    <w:rsid w:val="00831378"/>
    <w:rsid w:val="00842962"/>
    <w:rsid w:val="0085661D"/>
    <w:rsid w:val="00864EC1"/>
    <w:rsid w:val="00873603"/>
    <w:rsid w:val="00883264"/>
    <w:rsid w:val="008A2C7D"/>
    <w:rsid w:val="008B192A"/>
    <w:rsid w:val="008C4B23"/>
    <w:rsid w:val="008F6E2C"/>
    <w:rsid w:val="009303D9"/>
    <w:rsid w:val="00933C64"/>
    <w:rsid w:val="009719F6"/>
    <w:rsid w:val="00972203"/>
    <w:rsid w:val="00991981"/>
    <w:rsid w:val="009D48EB"/>
    <w:rsid w:val="00A059B3"/>
    <w:rsid w:val="00A26F73"/>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3EDA"/>
    <w:rsid w:val="00C76FFC"/>
    <w:rsid w:val="00C77996"/>
    <w:rsid w:val="00C848C0"/>
    <w:rsid w:val="00C919A4"/>
    <w:rsid w:val="00CA4392"/>
    <w:rsid w:val="00CC393F"/>
    <w:rsid w:val="00CD39BC"/>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7596C"/>
    <w:rsid w:val="00E878F2"/>
    <w:rsid w:val="00E91806"/>
    <w:rsid w:val="00EB3E2E"/>
    <w:rsid w:val="00ED0149"/>
    <w:rsid w:val="00ED611F"/>
    <w:rsid w:val="00EF4C62"/>
    <w:rsid w:val="00EF7DE3"/>
    <w:rsid w:val="00F03103"/>
    <w:rsid w:val="00F1784A"/>
    <w:rsid w:val="00F271DE"/>
    <w:rsid w:val="00F30163"/>
    <w:rsid w:val="00F627DA"/>
    <w:rsid w:val="00F638CC"/>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209</TotalTime>
  <Pages>5</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64</cp:revision>
  <dcterms:created xsi:type="dcterms:W3CDTF">2023-06-13T16:16:00Z</dcterms:created>
  <dcterms:modified xsi:type="dcterms:W3CDTF">2023-06-15T17:25:00Z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