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drawing>
          <wp:inline xmlns:a="http://schemas.openxmlformats.org/drawingml/2006/main" xmlns:pic="http://schemas.openxmlformats.org/drawingml/2006/picture">
            <wp:extent cx="3246120" cy="1257020"/>
            <wp:docPr id="1" name="Picture 1" descr="Mealy logo"/>
            <wp:cNvGraphicFramePr>
              <a:graphicFrameLocks noChangeAspect="1"/>
            </wp:cNvGraphicFramePr>
            <a:graphic>
              <a:graphicData uri="http://schemas.openxmlformats.org/drawingml/2006/picture">
                <pic:pic>
                  <pic:nvPicPr>
                    <pic:cNvPr id="0" name="mealy-logo-cropped.png"/>
                    <pic:cNvPicPr/>
                  </pic:nvPicPr>
                  <pic:blipFill>
                    <a:blip r:embed="rId9"/>
                    <a:stretch>
                      <a:fillRect/>
                    </a:stretch>
                  </pic:blipFill>
                  <pic:spPr>
                    <a:xfrm>
                      <a:off x="0" y="0"/>
                      <a:ext cx="3246120" cy="1257020"/>
                    </a:xfrm>
                    <a:prstGeom prst="rect"/>
                  </pic:spPr>
                </pic:pic>
              </a:graphicData>
            </a:graphic>
          </wp:inline>
        </w:drawing>
      </w:r>
    </w:p>
    <w:p>
      <w:pPr>
        <w:pStyle w:val="Title"/>
        <w:spacing w:before="800"/>
        <w:jc w:val="center"/>
      </w:pPr>
      <w:r>
        <w:t>Mealy Database Handbook</w:t>
      </w:r>
    </w:p>
    <w:p>
      <w:pPr>
        <w:spacing w:after="840"/>
        <w:jc w:val="center"/>
      </w:pPr>
      <w:r>
        <w:rPr>
          <w:rFonts w:ascii="Arial" w:hAnsi="Arial"/>
          <w:color w:val="4A4A4A"/>
          <w:sz w:val="26"/>
        </w:rPr>
        <w:t>Production foundation for student ordering canteen POS administration and shared services</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293"/>
        <w:gridCol w:w="3293"/>
        <w:gridCol w:w="3293"/>
      </w:tblGrid>
      <w:tr>
        <w:tc>
          <w:tcPr>
            <w:tcW w:type="dxa" w:w="2664"/>
            <w:shd w:fill="FFF2E8"/>
            <w:tcMar>
              <w:top w:w="180" w:type="dxa"/>
              <w:start w:w="160" w:type="dxa"/>
              <w:bottom w:w="180" w:type="dxa"/>
              <w:end w:w="160" w:type="dxa"/>
            </w:tcMar>
            <w:vAlign w:val="center"/>
          </w:tcPr>
          <w:p>
            <w:pPr>
              <w:jc w:val="center"/>
            </w:pPr>
            <w:r>
              <w:rPr>
                <w:rFonts w:ascii="Arial" w:hAnsi="Arial"/>
                <w:b/>
                <w:color w:val="6B6B6B"/>
                <w:sz w:val="16"/>
              </w:rPr>
              <w:t>POSTGRESQL</w:t>
              <w:br/>
            </w:r>
            <w:r>
              <w:rPr>
                <w:rFonts w:ascii="Arial" w:hAnsi="Arial"/>
                <w:b/>
                <w:color w:val="171717"/>
                <w:sz w:val="26"/>
              </w:rPr>
              <w:t>16 plus</w:t>
            </w:r>
          </w:p>
        </w:tc>
        <w:tc>
          <w:tcPr>
            <w:tcW w:type="dxa" w:w="2664"/>
            <w:shd w:fill="F6F6F4"/>
            <w:tcMar>
              <w:top w:w="180" w:type="dxa"/>
              <w:start w:w="160" w:type="dxa"/>
              <w:bottom w:w="180" w:type="dxa"/>
              <w:end w:w="160" w:type="dxa"/>
            </w:tcMar>
            <w:vAlign w:val="center"/>
          </w:tcPr>
          <w:p>
            <w:pPr>
              <w:jc w:val="center"/>
            </w:pPr>
            <w:r>
              <w:rPr>
                <w:rFonts w:ascii="Arial" w:hAnsi="Arial"/>
                <w:b/>
                <w:color w:val="6B6B6B"/>
                <w:sz w:val="16"/>
              </w:rPr>
              <w:t>SCHEMA</w:t>
              <w:br/>
            </w:r>
            <w:r>
              <w:rPr>
                <w:rFonts w:ascii="Arial" w:hAnsi="Arial"/>
                <w:b/>
                <w:color w:val="171717"/>
                <w:sz w:val="26"/>
              </w:rPr>
              <w:t>112 tables</w:t>
            </w:r>
          </w:p>
        </w:tc>
        <w:tc>
          <w:tcPr>
            <w:tcW w:type="dxa" w:w="3168"/>
            <w:shd w:fill="FFF2E8"/>
            <w:tcMar>
              <w:top w:w="180" w:type="dxa"/>
              <w:start w:w="160" w:type="dxa"/>
              <w:bottom w:w="180" w:type="dxa"/>
              <w:end w:w="160" w:type="dxa"/>
            </w:tcMar>
            <w:vAlign w:val="center"/>
          </w:tcPr>
          <w:p>
            <w:pPr>
              <w:jc w:val="center"/>
            </w:pPr>
            <w:r>
              <w:rPr>
                <w:rFonts w:ascii="Arial" w:hAnsi="Arial"/>
                <w:b/>
                <w:color w:val="6B6B6B"/>
                <w:sz w:val="16"/>
              </w:rPr>
              <w:t>STATUS</w:t>
              <w:br/>
            </w:r>
            <w:r>
              <w:rPr>
                <w:rFonts w:ascii="Arial" w:hAnsi="Arial"/>
                <w:b/>
                <w:color w:val="171717"/>
                <w:sz w:val="26"/>
              </w:rPr>
              <w:t>Verified foundation</w:t>
            </w:r>
          </w:p>
        </w:tc>
      </w:tr>
    </w:tbl>
    <w:p>
      <w:pPr>
        <w:spacing w:before="1560"/>
        <w:jc w:val="center"/>
      </w:pPr>
      <w:r>
        <w:rPr>
          <w:rFonts w:ascii="Arial" w:hAnsi="Arial"/>
          <w:color w:val="6B6B6B"/>
          <w:sz w:val="19"/>
        </w:rPr>
        <w:t>Prepared 14 September 2026</w:t>
      </w:r>
    </w:p>
    <w:p>
      <w:pPr>
        <w:jc w:val="center"/>
      </w:pPr>
      <w:r>
        <w:rPr>
          <w:rFonts w:ascii="Arial" w:hAnsi="Arial"/>
          <w:color w:val="6B6B6B"/>
          <w:sz w:val="19"/>
        </w:rPr>
        <w:t>Architecture reference and implementation guide</w:t>
      </w:r>
    </w:p>
    <w:p>
      <w:r>
        <w:br w:type="page"/>
      </w:r>
    </w:p>
    <w:p>
      <w:pPr>
        <w:sectPr>
          <w:headerReference w:type="default" r:id="rId10"/>
          <w:footerReference w:type="default" r:id="rId11"/>
          <w:pgSz w:w="12240" w:h="15840"/>
          <w:pgMar w:top="1037" w:right="1181" w:bottom="1008" w:left="1181" w:header="720" w:footer="720" w:gutter="0"/>
          <w:cols w:space="720"/>
          <w:docGrid w:linePitch="360"/>
        </w:sectPr>
      </w:pPr>
    </w:p>
    <w:p>
      <w:pPr>
        <w:pStyle w:val="Heading1"/>
      </w:pPr>
      <w:r>
        <w:t>Purpose and main conclusion</w:t>
      </w:r>
    </w:p>
    <w:p>
      <w:r>
        <w:t>This handbook explains the complete PostgreSQL database foundation created for Mealy. It is intended for product owners, backend engineers, POS integrators, administrators, testers, and operators who need one readable reference for what the schema covers and what remains to be implemented in application code.</w:t>
      </w:r>
    </w:p>
    <w:p>
      <w:r>
        <w:rPr>
          <w:rFonts w:ascii="Arial" w:hAnsi="Arial"/>
          <w:b/>
        </w:rPr>
        <w:t xml:space="preserve">Main conclusion. </w:t>
      </w:r>
      <w:r>
        <w:t>The database is a verified production-oriented foundation for a multi-campus food ordering platform. It covers student ordering, canteen POS, canteen and central administration, catalog customization, taxes, KOTs, tokens, payments, wallet, printing, audit, and reliability. A passing schema does not by itself make the product production-ready; backend authorization, calculations, provider integrations, concurrency tests, and policy decisions still need implementation or approval.</w:t>
      </w:r>
    </w:p>
    <w:p>
      <w:pPr>
        <w:pStyle w:val="Heading2"/>
      </w:pPr>
      <w:r>
        <w:t>Document map</w:t>
      </w:r>
    </w:p>
    <w:p>
      <w:pPr>
        <w:pStyle w:val="ListNumber"/>
      </w:pPr>
      <w:r>
        <w:t>Database at a glance</w:t>
      </w:r>
    </w:p>
    <w:p>
      <w:pPr>
        <w:pStyle w:val="ListNumber"/>
      </w:pPr>
      <w:r>
        <w:t>Split payment capability</w:t>
      </w:r>
    </w:p>
    <w:p>
      <w:pPr>
        <w:pStyle w:val="ListNumber"/>
      </w:pPr>
      <w:r>
        <w:t>System boundaries and tenant model</w:t>
      </w:r>
    </w:p>
    <w:p>
      <w:pPr>
        <w:pStyle w:val="ListNumber"/>
      </w:pPr>
      <w:r>
        <w:t>Catalog pricing tax and inventory</w:t>
      </w:r>
    </w:p>
    <w:p>
      <w:pPr>
        <w:pStyle w:val="ListNumber"/>
      </w:pPr>
      <w:r>
        <w:t>Orders tokens and kitchen operations</w:t>
      </w:r>
    </w:p>
    <w:p>
      <w:pPr>
        <w:pStyle w:val="ListNumber"/>
      </w:pPr>
      <w:r>
        <w:t>Payments promotions wallet and settlement</w:t>
      </w:r>
    </w:p>
    <w:p>
      <w:pPr>
        <w:pStyle w:val="ListNumber"/>
      </w:pPr>
      <w:r>
        <w:t>POS administration reliability and security</w:t>
      </w:r>
    </w:p>
    <w:p>
      <w:pPr>
        <w:pStyle w:val="ListNumber"/>
      </w:pPr>
      <w:r>
        <w:t>Data invariants migrations and verification</w:t>
      </w:r>
    </w:p>
    <w:p>
      <w:pPr>
        <w:pStyle w:val="ListNumber"/>
      </w:pPr>
      <w:r>
        <w:t>Production readiness and TBD decisions</w:t>
      </w:r>
    </w:p>
    <w:p>
      <w:pPr>
        <w:pStyle w:val="ListNumber"/>
      </w:pPr>
      <w:r>
        <w:t>Complete table function and trigger catalogue</w:t>
      </w:r>
    </w:p>
    <w:p>
      <w:pPr>
        <w:pStyle w:val="Heading1"/>
      </w:pPr>
      <w:r>
        <w:t>Database at a glance</w:t>
      </w:r>
    </w:p>
    <w:p>
      <w:r>
        <w:t>The foundation uses framework-neutral append-only SQL migrations for PostgreSQL 16 and later. Monetary values use integer minor units, identifiers use UUIDs, timestamps are timezone-aware, and business events preserve immutable snapshots so historical orders do not change when a menu or tax rule changes.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Measure</w:t>
            </w:r>
          </w:p>
        </w:tc>
        <w:tc>
          <w:tcPr>
            <w:tcW w:type="dxa" w:w="1800"/>
            <w:shd w:fill="4A4A4A"/>
            <w:tcMar>
              <w:top w:w="120" w:type="dxa"/>
              <w:start w:w="130" w:type="dxa"/>
              <w:bottom w:w="120" w:type="dxa"/>
              <w:end w:w="130" w:type="dxa"/>
            </w:tcMar>
            <w:vAlign w:val="center"/>
          </w:tcPr>
          <w:p>
            <w:pPr>
              <w:jc w:val="center"/>
            </w:pPr>
            <w:r>
              <w:rPr>
                <w:rFonts w:ascii="Arial" w:hAnsi="Arial"/>
                <w:b/>
                <w:color w:val="FFFFFF"/>
                <w:sz w:val="18"/>
              </w:rPr>
              <w:t>Verified count</w:t>
            </w:r>
          </w:p>
        </w:tc>
        <w:tc>
          <w:tcPr>
            <w:tcW w:type="dxa" w:w="5400"/>
            <w:shd w:fill="4A4A4A"/>
            <w:tcMar>
              <w:top w:w="120" w:type="dxa"/>
              <w:start w:w="130" w:type="dxa"/>
              <w:bottom w:w="120" w:type="dxa"/>
              <w:end w:w="130" w:type="dxa"/>
            </w:tcMar>
            <w:vAlign w:val="center"/>
          </w:tcPr>
          <w:p>
            <w:pPr>
              <w:jc w:val="center"/>
            </w:pPr>
            <w:r>
              <w:rPr>
                <w:rFonts w:ascii="Arial" w:hAnsi="Arial"/>
                <w:b/>
                <w:color w:val="FFFFFF"/>
                <w:sz w:val="18"/>
              </w:rPr>
              <w:t>Purpose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8"/>
              </w:rPr>
              <w:t>Tables</w:t>
            </w:r>
          </w:p>
        </w:tc>
        <w:tc>
          <w:tcPr>
            <w:tcW w:type="dxa" w:w="1800"/>
            <w:tcMar>
              <w:top w:w="105" w:type="dxa"/>
              <w:start w:w="130" w:type="dxa"/>
              <w:bottom w:w="105" w:type="dxa"/>
              <w:end w:w="130" w:type="dxa"/>
            </w:tcMar>
            <w:vAlign w:val="center"/>
          </w:tcPr>
          <w:p>
            <w:pPr>
              <w:jc w:val="center"/>
            </w:pPr>
            <w:r>
              <w:rPr>
                <w:rFonts w:ascii="Arial" w:hAnsi="Arial"/>
                <w:color w:val="171717"/>
                <w:sz w:val="18"/>
              </w:rPr>
              <w:t>112</w:t>
            </w:r>
          </w:p>
        </w:tc>
        <w:tc>
          <w:tcPr>
            <w:tcW w:type="dxa" w:w="5400"/>
            <w:tcMar>
              <w:top w:w="105" w:type="dxa"/>
              <w:start w:w="130" w:type="dxa"/>
              <w:bottom w:w="105" w:type="dxa"/>
              <w:end w:w="130" w:type="dxa"/>
            </w:tcMar>
            <w:vAlign w:val="center"/>
          </w:tcPr>
          <w:p>
            <w:pPr>
              <w:jc w:val="left"/>
            </w:pPr>
            <w:r>
              <w:rPr>
                <w:rFonts w:ascii="Arial" w:hAnsi="Arial"/>
                <w:color w:val="171717"/>
                <w:sz w:val="18"/>
              </w:rPr>
              <w:t>Domain and operational records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8"/>
              </w:rPr>
              <w:t>Foreign keys</w:t>
            </w:r>
          </w:p>
        </w:tc>
        <w:tc>
          <w:tcPr>
            <w:tcW w:type="dxa" w:w="1800"/>
            <w:shd w:fill="F6F6F4"/>
            <w:tcMar>
              <w:top w:w="105" w:type="dxa"/>
              <w:start w:w="130" w:type="dxa"/>
              <w:bottom w:w="105" w:type="dxa"/>
              <w:end w:w="130" w:type="dxa"/>
            </w:tcMar>
            <w:vAlign w:val="center"/>
          </w:tcPr>
          <w:p>
            <w:pPr>
              <w:jc w:val="center"/>
            </w:pPr>
            <w:r>
              <w:rPr>
                <w:rFonts w:ascii="Arial" w:hAnsi="Arial"/>
                <w:color w:val="171717"/>
                <w:sz w:val="18"/>
              </w:rPr>
              <w:t>215</w:t>
            </w:r>
          </w:p>
        </w:tc>
        <w:tc>
          <w:tcPr>
            <w:tcW w:type="dxa" w:w="5400"/>
            <w:shd w:fill="F6F6F4"/>
            <w:tcMar>
              <w:top w:w="105" w:type="dxa"/>
              <w:start w:w="130" w:type="dxa"/>
              <w:bottom w:w="105" w:type="dxa"/>
              <w:end w:w="130" w:type="dxa"/>
            </w:tcMar>
            <w:vAlign w:val="center"/>
          </w:tcPr>
          <w:p>
            <w:pPr>
              <w:jc w:val="left"/>
            </w:pPr>
            <w:r>
              <w:rPr>
                <w:rFonts w:ascii="Arial" w:hAnsi="Arial"/>
                <w:color w:val="171717"/>
                <w:sz w:val="18"/>
              </w:rPr>
              <w:t>Relationship and tenant integrity</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8"/>
              </w:rPr>
              <w:t>Check constraints</w:t>
            </w:r>
          </w:p>
        </w:tc>
        <w:tc>
          <w:tcPr>
            <w:tcW w:type="dxa" w:w="1800"/>
            <w:tcMar>
              <w:top w:w="105" w:type="dxa"/>
              <w:start w:w="130" w:type="dxa"/>
              <w:bottom w:w="105" w:type="dxa"/>
              <w:end w:w="130" w:type="dxa"/>
            </w:tcMar>
            <w:vAlign w:val="center"/>
          </w:tcPr>
          <w:p>
            <w:pPr>
              <w:jc w:val="center"/>
            </w:pPr>
            <w:r>
              <w:rPr>
                <w:rFonts w:ascii="Arial" w:hAnsi="Arial"/>
                <w:color w:val="171717"/>
                <w:sz w:val="18"/>
              </w:rPr>
              <w:t>305</w:t>
            </w:r>
          </w:p>
        </w:tc>
        <w:tc>
          <w:tcPr>
            <w:tcW w:type="dxa" w:w="5400"/>
            <w:tcMar>
              <w:top w:w="105" w:type="dxa"/>
              <w:start w:w="130" w:type="dxa"/>
              <w:bottom w:w="105" w:type="dxa"/>
              <w:end w:w="130" w:type="dxa"/>
            </w:tcMar>
            <w:vAlign w:val="center"/>
          </w:tcPr>
          <w:p>
            <w:pPr>
              <w:jc w:val="left"/>
            </w:pPr>
            <w:r>
              <w:rPr>
                <w:rFonts w:ascii="Arial" w:hAnsi="Arial"/>
                <w:color w:val="171717"/>
                <w:sz w:val="18"/>
              </w:rPr>
              <w:t>Allowed states ranges and value shapes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8"/>
              </w:rPr>
              <w:t>Indexes</w:t>
            </w:r>
          </w:p>
        </w:tc>
        <w:tc>
          <w:tcPr>
            <w:tcW w:type="dxa" w:w="1800"/>
            <w:shd w:fill="F6F6F4"/>
            <w:tcMar>
              <w:top w:w="105" w:type="dxa"/>
              <w:start w:w="130" w:type="dxa"/>
              <w:bottom w:w="105" w:type="dxa"/>
              <w:end w:w="130" w:type="dxa"/>
            </w:tcMar>
            <w:vAlign w:val="center"/>
          </w:tcPr>
          <w:p>
            <w:pPr>
              <w:jc w:val="center"/>
            </w:pPr>
            <w:r>
              <w:rPr>
                <w:rFonts w:ascii="Arial" w:hAnsi="Arial"/>
                <w:color w:val="171717"/>
                <w:sz w:val="18"/>
              </w:rPr>
              <w:t>220</w:t>
            </w:r>
          </w:p>
        </w:tc>
        <w:tc>
          <w:tcPr>
            <w:tcW w:type="dxa" w:w="5400"/>
            <w:shd w:fill="F6F6F4"/>
            <w:tcMar>
              <w:top w:w="105" w:type="dxa"/>
              <w:start w:w="130" w:type="dxa"/>
              <w:bottom w:w="105" w:type="dxa"/>
              <w:end w:w="130" w:type="dxa"/>
            </w:tcMar>
            <w:vAlign w:val="center"/>
          </w:tcPr>
          <w:p>
            <w:pPr>
              <w:jc w:val="left"/>
            </w:pPr>
            <w:r>
              <w:rPr>
                <w:rFonts w:ascii="Arial" w:hAnsi="Arial"/>
                <w:color w:val="171717"/>
                <w:sz w:val="18"/>
              </w:rPr>
              <w:t>Lookup uniqueness and operational performance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8"/>
              </w:rPr>
              <w:t>Functions</w:t>
            </w:r>
          </w:p>
        </w:tc>
        <w:tc>
          <w:tcPr>
            <w:tcW w:type="dxa" w:w="1800"/>
            <w:tcMar>
              <w:top w:w="105" w:type="dxa"/>
              <w:start w:w="130" w:type="dxa"/>
              <w:bottom w:w="105" w:type="dxa"/>
              <w:end w:w="130" w:type="dxa"/>
            </w:tcMar>
            <w:vAlign w:val="center"/>
          </w:tcPr>
          <w:p>
            <w:pPr>
              <w:jc w:val="center"/>
            </w:pPr>
            <w:r>
              <w:rPr>
                <w:rFonts w:ascii="Arial" w:hAnsi="Arial"/>
                <w:color w:val="171717"/>
                <w:sz w:val="18"/>
              </w:rPr>
              <w:t>11</w:t>
            </w:r>
          </w:p>
        </w:tc>
        <w:tc>
          <w:tcPr>
            <w:tcW w:type="dxa" w:w="5400"/>
            <w:tcMar>
              <w:top w:w="105" w:type="dxa"/>
              <w:start w:w="130" w:type="dxa"/>
              <w:bottom w:w="105" w:type="dxa"/>
              <w:end w:w="130" w:type="dxa"/>
            </w:tcMar>
            <w:vAlign w:val="center"/>
          </w:tcPr>
          <w:p>
            <w:pPr>
              <w:jc w:val="left"/>
            </w:pPr>
            <w:r>
              <w:rPr>
                <w:rFonts w:ascii="Arial" w:hAnsi="Arial"/>
                <w:color w:val="171717"/>
                <w:sz w:val="18"/>
              </w:rPr>
              <w:t>Scope checks numbering tokens transitions and event recording</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8"/>
              </w:rPr>
              <w:t>Non internal triggers</w:t>
            </w:r>
          </w:p>
        </w:tc>
        <w:tc>
          <w:tcPr>
            <w:tcW w:type="dxa" w:w="1800"/>
            <w:shd w:fill="F6F6F4"/>
            <w:tcMar>
              <w:top w:w="105" w:type="dxa"/>
              <w:start w:w="130" w:type="dxa"/>
              <w:bottom w:w="105" w:type="dxa"/>
              <w:end w:w="130" w:type="dxa"/>
            </w:tcMar>
            <w:vAlign w:val="center"/>
          </w:tcPr>
          <w:p>
            <w:pPr>
              <w:jc w:val="center"/>
            </w:pPr>
            <w:r>
              <w:rPr>
                <w:rFonts w:ascii="Arial" w:hAnsi="Arial"/>
                <w:color w:val="171717"/>
                <w:sz w:val="18"/>
              </w:rPr>
              <w:t>74</w:t>
            </w:r>
          </w:p>
        </w:tc>
        <w:tc>
          <w:tcPr>
            <w:tcW w:type="dxa" w:w="5400"/>
            <w:shd w:fill="F6F6F4"/>
            <w:tcMar>
              <w:top w:w="105" w:type="dxa"/>
              <w:start w:w="130" w:type="dxa"/>
              <w:bottom w:w="105" w:type="dxa"/>
              <w:end w:w="130" w:type="dxa"/>
            </w:tcMar>
            <w:vAlign w:val="center"/>
          </w:tcPr>
          <w:p>
            <w:pPr>
              <w:jc w:val="left"/>
            </w:pPr>
            <w:r>
              <w:rPr>
                <w:rFonts w:ascii="Arial" w:hAnsi="Arial"/>
                <w:color w:val="171717"/>
                <w:sz w:val="18"/>
              </w:rPr>
              <w:t>Validation events and automatic updated timestamps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8"/>
              </w:rPr>
              <w:t>Migrations</w:t>
            </w:r>
          </w:p>
        </w:tc>
        <w:tc>
          <w:tcPr>
            <w:tcW w:type="dxa" w:w="1800"/>
            <w:tcMar>
              <w:top w:w="105" w:type="dxa"/>
              <w:start w:w="130" w:type="dxa"/>
              <w:bottom w:w="105" w:type="dxa"/>
              <w:end w:w="130" w:type="dxa"/>
            </w:tcMar>
            <w:vAlign w:val="center"/>
          </w:tcPr>
          <w:p>
            <w:pPr>
              <w:jc w:val="center"/>
            </w:pPr>
            <w:r>
              <w:rPr>
                <w:rFonts w:ascii="Arial" w:hAnsi="Arial"/>
                <w:color w:val="171717"/>
                <w:sz w:val="18"/>
              </w:rPr>
              <w:t>7</w:t>
            </w:r>
          </w:p>
        </w:tc>
        <w:tc>
          <w:tcPr>
            <w:tcW w:type="dxa" w:w="5400"/>
            <w:tcMar>
              <w:top w:w="105" w:type="dxa"/>
              <w:start w:w="130" w:type="dxa"/>
              <w:bottom w:w="105" w:type="dxa"/>
              <w:end w:w="130" w:type="dxa"/>
            </w:tcMar>
            <w:vAlign w:val="center"/>
          </w:tcPr>
          <w:p>
            <w:pPr>
              <w:jc w:val="left"/>
            </w:pPr>
            <w:r>
              <w:rPr>
                <w:rFonts w:ascii="Arial" w:hAnsi="Arial"/>
                <w:color w:val="171717"/>
                <w:sz w:val="18"/>
              </w:rPr>
              <w:t>Ordered schema seed function and constraint layers</w:t>
            </w:r>
          </w:p>
        </w:tc>
      </w:tr>
    </w:tbl>
    <w:p>
      <w:pPr>
        <w:spacing w:after="20"/>
      </w:pPr>
    </w:p>
    <w:p>
      <w:pPr>
        <w:pStyle w:val="Heading2"/>
      </w:pPr>
      <w:r>
        <w:t>Four product surfaces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2520"/>
            <w:shd w:fill="4A4A4A"/>
            <w:tcMar>
              <w:top w:w="120" w:type="dxa"/>
              <w:start w:w="130" w:type="dxa"/>
              <w:bottom w:w="120" w:type="dxa"/>
              <w:end w:w="130" w:type="dxa"/>
            </w:tcMar>
            <w:vAlign w:val="center"/>
          </w:tcPr>
          <w:p>
            <w:pPr>
              <w:jc w:val="center"/>
            </w:pPr>
            <w:r>
              <w:rPr>
                <w:rFonts w:ascii="Arial" w:hAnsi="Arial"/>
                <w:b/>
                <w:color w:val="FFFFFF"/>
                <w:sz w:val="18"/>
              </w:rPr>
              <w:t>Surface</w:t>
            </w:r>
          </w:p>
        </w:tc>
        <w:tc>
          <w:tcPr>
            <w:tcW w:type="dxa" w:w="6912"/>
            <w:shd w:fill="4A4A4A"/>
            <w:tcMar>
              <w:top w:w="120" w:type="dxa"/>
              <w:start w:w="130" w:type="dxa"/>
              <w:bottom w:w="120" w:type="dxa"/>
              <w:end w:w="130" w:type="dxa"/>
            </w:tcMar>
            <w:vAlign w:val="center"/>
          </w:tcPr>
          <w:p>
            <w:pPr>
              <w:jc w:val="center"/>
            </w:pPr>
            <w:r>
              <w:rPr>
                <w:rFonts w:ascii="Arial" w:hAnsi="Arial"/>
                <w:b/>
                <w:color w:val="FFFFFF"/>
                <w:sz w:val="18"/>
              </w:rPr>
              <w:t>Database coverage</w:t>
            </w:r>
          </w:p>
        </w:tc>
      </w:tr>
      <w:tr>
        <w:trPr>
          <w:cantSplit w:val="true"/>
        </w:trPr>
        <w:tc>
          <w:tcPr>
            <w:tcW w:type="dxa" w:w="2520"/>
            <w:tcMar>
              <w:top w:w="105" w:type="dxa"/>
              <w:start w:w="130" w:type="dxa"/>
              <w:bottom w:w="105" w:type="dxa"/>
              <w:end w:w="130" w:type="dxa"/>
            </w:tcMar>
            <w:vAlign w:val="center"/>
          </w:tcPr>
          <w:p>
            <w:pPr>
              <w:jc w:val="left"/>
            </w:pPr>
            <w:r>
              <w:rPr>
                <w:rFonts w:ascii="Arial" w:hAnsi="Arial"/>
                <w:color w:val="171717"/>
                <w:sz w:val="18"/>
              </w:rPr>
              <w:t>Student ordering</w:t>
            </w:r>
          </w:p>
        </w:tc>
        <w:tc>
          <w:tcPr>
            <w:tcW w:type="dxa" w:w="6912"/>
            <w:tcMar>
              <w:top w:w="105" w:type="dxa"/>
              <w:start w:w="130" w:type="dxa"/>
              <w:bottom w:w="105" w:type="dxa"/>
              <w:end w:w="130" w:type="dxa"/>
            </w:tcMar>
            <w:vAlign w:val="center"/>
          </w:tcPr>
          <w:p>
            <w:pPr>
              <w:jc w:val="left"/>
            </w:pPr>
            <w:r>
              <w:rPr>
                <w:rFonts w:ascii="Arial" w:hAnsi="Arial"/>
                <w:color w:val="171717"/>
                <w:sz w:val="18"/>
              </w:rPr>
              <w:t>Identity campus context menu cart checkout order tracking token collection wallet and feedback models</w:t>
            </w:r>
          </w:p>
        </w:tc>
      </w:tr>
      <w:tr>
        <w:trPr>
          <w:cantSplit w:val="true"/>
        </w:trPr>
        <w:tc>
          <w:tcPr>
            <w:tcW w:type="dxa" w:w="2520"/>
            <w:shd w:fill="F6F6F4"/>
            <w:tcMar>
              <w:top w:w="105" w:type="dxa"/>
              <w:start w:w="130" w:type="dxa"/>
              <w:bottom w:w="105" w:type="dxa"/>
              <w:end w:w="130" w:type="dxa"/>
            </w:tcMar>
            <w:vAlign w:val="center"/>
          </w:tcPr>
          <w:p>
            <w:pPr>
              <w:jc w:val="left"/>
            </w:pPr>
            <w:r>
              <w:rPr>
                <w:rFonts w:ascii="Arial" w:hAnsi="Arial"/>
                <w:color w:val="171717"/>
                <w:sz w:val="18"/>
              </w:rPr>
              <w:t>Canteen POS</w:t>
            </w:r>
          </w:p>
        </w:tc>
        <w:tc>
          <w:tcPr>
            <w:tcW w:type="dxa" w:w="6912"/>
            <w:shd w:fill="F6F6F4"/>
            <w:tcMar>
              <w:top w:w="105" w:type="dxa"/>
              <w:start w:w="130" w:type="dxa"/>
              <w:bottom w:w="105" w:type="dxa"/>
              <w:end w:w="130" w:type="dxa"/>
            </w:tcMar>
            <w:vAlign w:val="center"/>
          </w:tcPr>
          <w:p>
            <w:pPr>
              <w:jc w:val="left"/>
            </w:pPr>
            <w:r>
              <w:rPr>
                <w:rFonts w:ascii="Arial" w:hAnsi="Arial"/>
                <w:color w:val="171717"/>
                <w:sz w:val="18"/>
              </w:rPr>
              <w:t>Counter orders incoming orders KOT status payment receipt printer register shift and cash models</w:t>
            </w:r>
          </w:p>
        </w:tc>
      </w:tr>
      <w:tr>
        <w:trPr>
          <w:cantSplit w:val="true"/>
        </w:trPr>
        <w:tc>
          <w:tcPr>
            <w:tcW w:type="dxa" w:w="2520"/>
            <w:tcMar>
              <w:top w:w="105" w:type="dxa"/>
              <w:start w:w="130" w:type="dxa"/>
              <w:bottom w:w="105" w:type="dxa"/>
              <w:end w:w="130" w:type="dxa"/>
            </w:tcMar>
            <w:vAlign w:val="center"/>
          </w:tcPr>
          <w:p>
            <w:pPr>
              <w:jc w:val="left"/>
            </w:pPr>
            <w:r>
              <w:rPr>
                <w:rFonts w:ascii="Arial" w:hAnsi="Arial"/>
                <w:color w:val="171717"/>
                <w:sz w:val="18"/>
              </w:rPr>
              <w:t>Canteen and central admin</w:t>
            </w:r>
          </w:p>
        </w:tc>
        <w:tc>
          <w:tcPr>
            <w:tcW w:type="dxa" w:w="6912"/>
            <w:tcMar>
              <w:top w:w="105" w:type="dxa"/>
              <w:start w:w="130" w:type="dxa"/>
              <w:bottom w:w="105" w:type="dxa"/>
              <w:end w:w="130" w:type="dxa"/>
            </w:tcMar>
            <w:vAlign w:val="center"/>
          </w:tcPr>
          <w:p>
            <w:pPr>
              <w:jc w:val="left"/>
            </w:pPr>
            <w:r>
              <w:rPr>
                <w:rFonts w:ascii="Arial" w:hAnsi="Arial"/>
                <w:color w:val="171717"/>
                <w:sz w:val="18"/>
              </w:rPr>
              <w:t>Campuses canteens outlets staff roles features settings onboarding subscriptions and audit models</w:t>
            </w:r>
          </w:p>
        </w:tc>
      </w:tr>
      <w:tr>
        <w:trPr>
          <w:cantSplit w:val="true"/>
        </w:trPr>
        <w:tc>
          <w:tcPr>
            <w:tcW w:type="dxa" w:w="2520"/>
            <w:shd w:fill="F6F6F4"/>
            <w:tcMar>
              <w:top w:w="105" w:type="dxa"/>
              <w:start w:w="130" w:type="dxa"/>
              <w:bottom w:w="105" w:type="dxa"/>
              <w:end w:w="130" w:type="dxa"/>
            </w:tcMar>
            <w:vAlign w:val="center"/>
          </w:tcPr>
          <w:p>
            <w:pPr>
              <w:jc w:val="left"/>
            </w:pPr>
            <w:r>
              <w:rPr>
                <w:rFonts w:ascii="Arial" w:hAnsi="Arial"/>
                <w:color w:val="171717"/>
                <w:sz w:val="18"/>
              </w:rPr>
              <w:t>Shared backend</w:t>
            </w:r>
          </w:p>
        </w:tc>
        <w:tc>
          <w:tcPr>
            <w:tcW w:type="dxa" w:w="6912"/>
            <w:shd w:fill="F6F6F4"/>
            <w:tcMar>
              <w:top w:w="105" w:type="dxa"/>
              <w:start w:w="130" w:type="dxa"/>
              <w:bottom w:w="105" w:type="dxa"/>
              <w:end w:w="130" w:type="dxa"/>
            </w:tcMar>
            <w:vAlign w:val="center"/>
          </w:tcPr>
          <w:p>
            <w:pPr>
              <w:jc w:val="left"/>
            </w:pPr>
            <w:r>
              <w:rPr>
                <w:rFonts w:ascii="Arial" w:hAnsi="Arial"/>
                <w:color w:val="171717"/>
                <w:sz w:val="18"/>
              </w:rPr>
              <w:t>Pricing tax order identity sequences idempotency webhooks outbox and authoritative state transitions</w:t>
            </w:r>
          </w:p>
        </w:tc>
      </w:tr>
    </w:tbl>
    <w:p>
      <w:pPr>
        <w:spacing w:after="20"/>
      </w:pPr>
    </w:p>
    <w:p>
      <w:pPr>
        <w:pStyle w:val="Heading2"/>
      </w:pPr>
      <w:r>
        <w:t>Default feature posture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2520"/>
            <w:shd w:fill="4A4A4A"/>
            <w:tcMar>
              <w:top w:w="120" w:type="dxa"/>
              <w:start w:w="130" w:type="dxa"/>
              <w:bottom w:w="120" w:type="dxa"/>
              <w:end w:w="130" w:type="dxa"/>
            </w:tcMar>
            <w:vAlign w:val="center"/>
          </w:tcPr>
          <w:p>
            <w:pPr>
              <w:jc w:val="center"/>
            </w:pPr>
            <w:r>
              <w:rPr>
                <w:rFonts w:ascii="Arial" w:hAnsi="Arial"/>
                <w:b/>
                <w:color w:val="FFFFFF"/>
                <w:sz w:val="18"/>
              </w:rPr>
              <w:t>Class</w:t>
            </w:r>
          </w:p>
        </w:tc>
        <w:tc>
          <w:tcPr>
            <w:tcW w:type="dxa" w:w="6912"/>
            <w:shd w:fill="4A4A4A"/>
            <w:tcMar>
              <w:top w:w="120" w:type="dxa"/>
              <w:start w:w="130" w:type="dxa"/>
              <w:bottom w:w="120" w:type="dxa"/>
              <w:end w:w="130" w:type="dxa"/>
            </w:tcMar>
            <w:vAlign w:val="center"/>
          </w:tcPr>
          <w:p>
            <w:pPr>
              <w:jc w:val="center"/>
            </w:pPr>
            <w:r>
              <w:rPr>
                <w:rFonts w:ascii="Arial" w:hAnsi="Arial"/>
                <w:b/>
                <w:color w:val="FFFFFF"/>
                <w:sz w:val="18"/>
              </w:rPr>
              <w:t>Capabilities</w:t>
            </w:r>
          </w:p>
        </w:tc>
      </w:tr>
      <w:tr>
        <w:trPr>
          <w:cantSplit w:val="true"/>
        </w:trPr>
        <w:tc>
          <w:tcPr>
            <w:tcW w:type="dxa" w:w="2520"/>
            <w:tcMar>
              <w:top w:w="105" w:type="dxa"/>
              <w:start w:w="130" w:type="dxa"/>
              <w:bottom w:w="105" w:type="dxa"/>
              <w:end w:w="130" w:type="dxa"/>
            </w:tcMar>
            <w:vAlign w:val="center"/>
          </w:tcPr>
          <w:p>
            <w:pPr>
              <w:jc w:val="left"/>
            </w:pPr>
            <w:r>
              <w:rPr>
                <w:rFonts w:ascii="Arial" w:hAnsi="Arial"/>
                <w:color w:val="171717"/>
                <w:sz w:val="18"/>
              </w:rPr>
              <w:t>Enabled core</w:t>
            </w:r>
          </w:p>
        </w:tc>
        <w:tc>
          <w:tcPr>
            <w:tcW w:type="dxa" w:w="6912"/>
            <w:tcMar>
              <w:top w:w="105" w:type="dxa"/>
              <w:start w:w="130" w:type="dxa"/>
              <w:bottom w:w="105" w:type="dxa"/>
              <w:end w:w="130" w:type="dxa"/>
            </w:tcMar>
            <w:vAlign w:val="center"/>
          </w:tcPr>
          <w:p>
            <w:pPr>
              <w:jc w:val="left"/>
            </w:pPr>
            <w:r>
              <w:rPr>
                <w:rFonts w:ascii="Arial" w:hAnsi="Arial"/>
                <w:color w:val="171717"/>
                <w:sz w:val="18"/>
              </w:rPr>
              <w:t>Student ordering POS KOT tokens printing cash payment and multi POS</w:t>
            </w:r>
          </w:p>
        </w:tc>
      </w:tr>
      <w:tr>
        <w:trPr>
          <w:cantSplit w:val="true"/>
        </w:trPr>
        <w:tc>
          <w:tcPr>
            <w:tcW w:type="dxa" w:w="2520"/>
            <w:shd w:fill="F6F6F4"/>
            <w:tcMar>
              <w:top w:w="105" w:type="dxa"/>
              <w:start w:w="130" w:type="dxa"/>
              <w:bottom w:w="105" w:type="dxa"/>
              <w:end w:w="130" w:type="dxa"/>
            </w:tcMar>
            <w:vAlign w:val="center"/>
          </w:tcPr>
          <w:p>
            <w:pPr>
              <w:jc w:val="left"/>
            </w:pPr>
            <w:r>
              <w:rPr>
                <w:rFonts w:ascii="Arial" w:hAnsi="Arial"/>
                <w:color w:val="171717"/>
                <w:sz w:val="18"/>
              </w:rPr>
              <w:t>Modeled but disabled</w:t>
            </w:r>
          </w:p>
        </w:tc>
        <w:tc>
          <w:tcPr>
            <w:tcW w:type="dxa" w:w="6912"/>
            <w:shd w:fill="F6F6F4"/>
            <w:tcMar>
              <w:top w:w="105" w:type="dxa"/>
              <w:start w:w="130" w:type="dxa"/>
              <w:bottom w:w="105" w:type="dxa"/>
              <w:end w:w="130" w:type="dxa"/>
            </w:tcMar>
            <w:vAlign w:val="center"/>
          </w:tcPr>
          <w:p>
            <w:pPr>
              <w:jc w:val="left"/>
            </w:pPr>
            <w:r>
              <w:rPr>
                <w:rFonts w:ascii="Arial" w:hAnsi="Arial"/>
                <w:color w:val="171717"/>
                <w:sz w:val="18"/>
              </w:rPr>
              <w:t>Wallet coupons feedback inventory dine in reservations delivery subscriptions commissions and online payments</w:t>
            </w:r>
          </w:p>
        </w:tc>
      </w:tr>
      <w:tr>
        <w:trPr>
          <w:cantSplit w:val="true"/>
        </w:trPr>
        <w:tc>
          <w:tcPr>
            <w:tcW w:type="dxa" w:w="2520"/>
            <w:tcMar>
              <w:top w:w="105" w:type="dxa"/>
              <w:start w:w="130" w:type="dxa"/>
              <w:bottom w:w="105" w:type="dxa"/>
              <w:end w:w="130" w:type="dxa"/>
            </w:tcMar>
            <w:vAlign w:val="center"/>
          </w:tcPr>
          <w:p>
            <w:pPr>
              <w:jc w:val="left"/>
            </w:pPr>
            <w:r>
              <w:rPr>
                <w:rFonts w:ascii="Arial" w:hAnsi="Arial"/>
                <w:color w:val="171717"/>
                <w:sz w:val="18"/>
              </w:rPr>
              <w:t>Scope rule</w:t>
            </w:r>
          </w:p>
        </w:tc>
        <w:tc>
          <w:tcPr>
            <w:tcW w:type="dxa" w:w="6912"/>
            <w:tcMar>
              <w:top w:w="105" w:type="dxa"/>
              <w:start w:w="130" w:type="dxa"/>
              <w:bottom w:w="105" w:type="dxa"/>
              <w:end w:w="130" w:type="dxa"/>
            </w:tcMar>
            <w:vAlign w:val="center"/>
          </w:tcPr>
          <w:p>
            <w:pPr>
              <w:jc w:val="left"/>
            </w:pPr>
            <w:r>
              <w:rPr>
                <w:rFonts w:ascii="Arial" w:hAnsi="Arial"/>
                <w:color w:val="171717"/>
                <w:sz w:val="18"/>
              </w:rPr>
              <w:t>A modeled table is not launch approval; optional capabilities require an explicit product decision and canteen feature enablement</w:t>
            </w:r>
          </w:p>
        </w:tc>
      </w:tr>
    </w:tbl>
    <w:p>
      <w:pPr>
        <w:spacing w:after="20"/>
      </w:pPr>
    </w:p>
    <w:p>
      <w:pPr>
        <w:pStyle w:val="Heading1"/>
      </w:pPr>
      <w:r>
        <w:t>Split payment capability</w:t>
      </w:r>
    </w:p>
    <w:p>
      <w:r>
        <w:rPr>
          <w:rFonts w:ascii="Arial" w:hAnsi="Arial"/>
          <w:b/>
        </w:rPr>
        <w:t xml:space="preserve">Answer. </w:t>
      </w:r>
      <w:r>
        <w:t>Yes at the data-model level, with an important implementation qualification. An order may own multiple payment intents, each intent may use a different enabled payment method and amount, and the order payment state explicitly includes partially paid. This can represent cash plus UPI, wallet plus card, or other mixed tenders.</w:t>
      </w:r>
    </w:p>
    <w:p>
      <w:pPr>
        <w:spacing w:before="100" w:after="160"/>
        <w:jc w:val="center"/>
      </w:pPr>
      <w:r>
        <w:drawing>
          <wp:inline xmlns:a="http://schemas.openxmlformats.org/drawingml/2006/main" xmlns:pic="http://schemas.openxmlformats.org/drawingml/2006/picture">
            <wp:extent cx="5989320" cy="3593592"/>
            <wp:docPr id="2" name="Picture 2" descr="Diagram showing one order connected to multiple payment intents and transactions"/>
            <wp:cNvGraphicFramePr>
              <a:graphicFrameLocks noChangeAspect="1"/>
            </wp:cNvGraphicFramePr>
            <a:graphic>
              <a:graphicData uri="http://schemas.openxmlformats.org/drawingml/2006/picture">
                <pic:pic>
                  <pic:nvPicPr>
                    <pic:cNvPr id="0" name="split-payment.png"/>
                    <pic:cNvPicPr/>
                  </pic:nvPicPr>
                  <pic:blipFill>
                    <a:blip r:embed="rId14"/>
                    <a:stretch>
                      <a:fillRect/>
                    </a:stretch>
                  </pic:blipFill>
                  <pic:spPr>
                    <a:xfrm>
                      <a:off x="0" y="0"/>
                      <a:ext cx="5989320" cy="3593592"/>
                    </a:xfrm>
                    <a:prstGeom prst="rect"/>
                  </pic:spPr>
                </pic:pic>
              </a:graphicData>
            </a:graphic>
          </wp:inline>
        </w:drawing>
      </w:r>
    </w:p>
    <w:p>
      <w:pPr>
        <w:pStyle w:val="Heading2"/>
      </w:pPr>
      <w:r>
        <w:t>What is already supported</w:t>
      </w:r>
    </w:p>
    <w:p>
      <w:pPr>
        <w:pStyle w:val="ListBullet"/>
      </w:pPr>
      <w:r>
        <w:t>Multiple payment_intents rows may reference the same order; there is no one-intent-per-order constraint.</w:t>
      </w:r>
    </w:p>
    <w:p>
      <w:pPr>
        <w:pStyle w:val="ListBullet"/>
      </w:pPr>
      <w:r>
        <w:t>Each intent stores its own method configuration amount currency status provider reference and idempotency key.</w:t>
      </w:r>
    </w:p>
    <w:p>
      <w:pPr>
        <w:pStyle w:val="ListBullet"/>
      </w:pPr>
      <w:r>
        <w:t>Immutable payment_transactions preserve authorization capture sale void refund chargeback and adjustment events.</w:t>
      </w:r>
    </w:p>
    <w:p>
      <w:pPr>
        <w:pStyle w:val="ListBullet"/>
      </w:pPr>
      <w:r>
        <w:t>orders.payment_status supports unpaid pending partially_paid paid partially_refunded refunded failed and voided.</w:t>
      </w:r>
    </w:p>
    <w:p>
      <w:pPr>
        <w:pStyle w:val="ListBullet"/>
      </w:pPr>
      <w:r>
        <w:t>Refunds may target a specific successful payment transaction, which enables tender-aware refund routing.</w:t>
      </w:r>
    </w:p>
    <w:p>
      <w:pPr>
        <w:pStyle w:val="ListBullet"/>
      </w:pPr>
      <w:r>
        <w:t>Wallet ledger entries can reference both an order and a payment transaction.</w:t>
      </w:r>
    </w:p>
    <w:p>
      <w:pPr>
        <w:pStyle w:val="Heading2"/>
      </w:pPr>
      <w:r>
        <w:t>What the backend must still enforce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cantSplit w:val="true"/>
        </w:trPr>
        <w:tc>
          <w:tcPr>
            <w:tcW w:type="dxa" w:w="1728"/>
            <w:shd w:fill="4A4A4A"/>
            <w:tcMar>
              <w:top w:w="120" w:type="dxa"/>
              <w:start w:w="130" w:type="dxa"/>
              <w:bottom w:w="120" w:type="dxa"/>
              <w:end w:w="130" w:type="dxa"/>
            </w:tcMar>
            <w:vAlign w:val="center"/>
          </w:tcPr>
          <w:p>
            <w:pPr>
              <w:jc w:val="center"/>
            </w:pPr>
            <w:r>
              <w:rPr>
                <w:rFonts w:ascii="Arial" w:hAnsi="Arial"/>
                <w:b/>
                <w:color w:val="FFFFFF"/>
                <w:sz w:val="18"/>
              </w:rPr>
              <w:t>Control</w:t>
            </w:r>
          </w:p>
        </w:tc>
        <w:tc>
          <w:tcPr>
            <w:tcW w:type="dxa" w:w="5760"/>
            <w:shd w:fill="4A4A4A"/>
            <w:tcMar>
              <w:top w:w="120" w:type="dxa"/>
              <w:start w:w="130" w:type="dxa"/>
              <w:bottom w:w="120" w:type="dxa"/>
              <w:end w:w="130" w:type="dxa"/>
            </w:tcMar>
            <w:vAlign w:val="center"/>
          </w:tcPr>
          <w:p>
            <w:pPr>
              <w:jc w:val="center"/>
            </w:pPr>
            <w:r>
              <w:rPr>
                <w:rFonts w:ascii="Arial" w:hAnsi="Arial"/>
                <w:b/>
                <w:color w:val="FFFFFF"/>
                <w:sz w:val="18"/>
              </w:rPr>
              <w:t>Required behavior</w:t>
            </w:r>
          </w:p>
        </w:tc>
        <w:tc>
          <w:tcPr>
            <w:tcW w:type="dxa" w:w="1944"/>
            <w:shd w:fill="4A4A4A"/>
            <w:tcMar>
              <w:top w:w="120" w:type="dxa"/>
              <w:start w:w="130" w:type="dxa"/>
              <w:bottom w:w="120" w:type="dxa"/>
              <w:end w:w="130" w:type="dxa"/>
            </w:tcMar>
            <w:vAlign w:val="center"/>
          </w:tcPr>
          <w:p>
            <w:pPr>
              <w:jc w:val="center"/>
            </w:pPr>
            <w:r>
              <w:rPr>
                <w:rFonts w:ascii="Arial" w:hAnsi="Arial"/>
                <w:b/>
                <w:color w:val="FFFFFF"/>
                <w:sz w:val="18"/>
              </w:rPr>
              <w:t>Status</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7"/>
              </w:rPr>
              <w:t>Atomic balance</w:t>
            </w:r>
          </w:p>
        </w:tc>
        <w:tc>
          <w:tcPr>
            <w:tcW w:type="dxa" w:w="5760"/>
            <w:tcMar>
              <w:top w:w="105" w:type="dxa"/>
              <w:start w:w="130" w:type="dxa"/>
              <w:bottom w:w="105" w:type="dxa"/>
              <w:end w:w="130" w:type="dxa"/>
            </w:tcMar>
            <w:vAlign w:val="center"/>
          </w:tcPr>
          <w:p>
            <w:pPr>
              <w:jc w:val="left"/>
            </w:pPr>
            <w:r>
              <w:rPr>
                <w:rFonts w:ascii="Arial" w:hAnsi="Arial"/>
                <w:color w:val="171717"/>
                <w:sz w:val="17"/>
              </w:rPr>
              <w:t>Lock or version the order while adding or capturing a tender and calculate the remaining amount server-side.</w:t>
            </w:r>
          </w:p>
        </w:tc>
        <w:tc>
          <w:tcPr>
            <w:tcW w:type="dxa" w:w="1944"/>
            <w:tcMar>
              <w:top w:w="105" w:type="dxa"/>
              <w:start w:w="130" w:type="dxa"/>
              <w:bottom w:w="105" w:type="dxa"/>
              <w:end w:w="130" w:type="dxa"/>
            </w:tcMar>
            <w:vAlign w:val="center"/>
          </w:tcPr>
          <w:p>
            <w:pPr>
              <w:jc w:val="left"/>
            </w:pPr>
            <w:r>
              <w:rPr>
                <w:rFonts w:ascii="Arial" w:hAnsi="Arial"/>
                <w:color w:val="171717"/>
                <w:sz w:val="17"/>
              </w:rPr>
              <w:t>TBD implementation</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7"/>
              </w:rPr>
              <w:t>Overpayment</w:t>
            </w:r>
          </w:p>
        </w:tc>
        <w:tc>
          <w:tcPr>
            <w:tcW w:type="dxa" w:w="5760"/>
            <w:shd w:fill="F6F6F4"/>
            <w:tcMar>
              <w:top w:w="105" w:type="dxa"/>
              <w:start w:w="130" w:type="dxa"/>
              <w:bottom w:w="105" w:type="dxa"/>
              <w:end w:w="130" w:type="dxa"/>
            </w:tcMar>
            <w:vAlign w:val="center"/>
          </w:tcPr>
          <w:p>
            <w:pPr>
              <w:jc w:val="left"/>
            </w:pPr>
            <w:r>
              <w:rPr>
                <w:rFonts w:ascii="Arial" w:hAnsi="Arial"/>
                <w:color w:val="171717"/>
                <w:sz w:val="17"/>
              </w:rPr>
              <w:t>Reject or explicitly authorize payments whose successful total exceeds the payable order total.</w:t>
            </w:r>
          </w:p>
        </w:tc>
        <w:tc>
          <w:tcPr>
            <w:tcW w:type="dxa" w:w="1944"/>
            <w:shd w:fill="F6F6F4"/>
            <w:tcMar>
              <w:top w:w="105" w:type="dxa"/>
              <w:start w:w="130" w:type="dxa"/>
              <w:bottom w:w="105" w:type="dxa"/>
              <w:end w:w="130" w:type="dxa"/>
            </w:tcMar>
            <w:vAlign w:val="center"/>
          </w:tcPr>
          <w:p>
            <w:pPr>
              <w:jc w:val="left"/>
            </w:pPr>
            <w:r>
              <w:rPr>
                <w:rFonts w:ascii="Arial" w:hAnsi="Arial"/>
                <w:color w:val="171717"/>
                <w:sz w:val="17"/>
              </w:rPr>
              <w:t>TBD policy</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7"/>
              </w:rPr>
              <w:t>State derivation</w:t>
            </w:r>
          </w:p>
        </w:tc>
        <w:tc>
          <w:tcPr>
            <w:tcW w:type="dxa" w:w="5760"/>
            <w:tcMar>
              <w:top w:w="105" w:type="dxa"/>
              <w:start w:w="130" w:type="dxa"/>
              <w:bottom w:w="105" w:type="dxa"/>
              <w:end w:w="130" w:type="dxa"/>
            </w:tcMar>
            <w:vAlign w:val="center"/>
          </w:tcPr>
          <w:p>
            <w:pPr>
              <w:jc w:val="left"/>
            </w:pPr>
            <w:r>
              <w:rPr>
                <w:rFonts w:ascii="Arial" w:hAnsi="Arial"/>
                <w:color w:val="171717"/>
                <w:sz w:val="17"/>
              </w:rPr>
              <w:t>Derive partially paid or paid from successful net captures rather than trusting a client-supplied status.</w:t>
            </w:r>
          </w:p>
        </w:tc>
        <w:tc>
          <w:tcPr>
            <w:tcW w:type="dxa" w:w="1944"/>
            <w:tcMar>
              <w:top w:w="105" w:type="dxa"/>
              <w:start w:w="130" w:type="dxa"/>
              <w:bottom w:w="105" w:type="dxa"/>
              <w:end w:w="130" w:type="dxa"/>
            </w:tcMar>
            <w:vAlign w:val="center"/>
          </w:tcPr>
          <w:p>
            <w:pPr>
              <w:jc w:val="left"/>
            </w:pPr>
            <w:r>
              <w:rPr>
                <w:rFonts w:ascii="Arial" w:hAnsi="Arial"/>
                <w:color w:val="171717"/>
                <w:sz w:val="17"/>
              </w:rPr>
              <w:t>TBD implementation</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7"/>
              </w:rPr>
              <w:t>Failure recovery</w:t>
            </w:r>
          </w:p>
        </w:tc>
        <w:tc>
          <w:tcPr>
            <w:tcW w:type="dxa" w:w="5760"/>
            <w:shd w:fill="F6F6F4"/>
            <w:tcMar>
              <w:top w:w="105" w:type="dxa"/>
              <w:start w:w="130" w:type="dxa"/>
              <w:bottom w:w="105" w:type="dxa"/>
              <w:end w:w="130" w:type="dxa"/>
            </w:tcMar>
            <w:vAlign w:val="center"/>
          </w:tcPr>
          <w:p>
            <w:pPr>
              <w:jc w:val="left"/>
            </w:pPr>
            <w:r>
              <w:rPr>
                <w:rFonts w:ascii="Arial" w:hAnsi="Arial"/>
                <w:color w:val="171717"/>
                <w:sz w:val="17"/>
              </w:rPr>
              <w:t>Define how expired failed or reversed tenders affect the remaining amount and retry experience.</w:t>
            </w:r>
          </w:p>
        </w:tc>
        <w:tc>
          <w:tcPr>
            <w:tcW w:type="dxa" w:w="1944"/>
            <w:shd w:fill="F6F6F4"/>
            <w:tcMar>
              <w:top w:w="105" w:type="dxa"/>
              <w:start w:w="130" w:type="dxa"/>
              <w:bottom w:w="105" w:type="dxa"/>
              <w:end w:w="130" w:type="dxa"/>
            </w:tcMar>
            <w:vAlign w:val="center"/>
          </w:tcPr>
          <w:p>
            <w:pPr>
              <w:jc w:val="left"/>
            </w:pPr>
            <w:r>
              <w:rPr>
                <w:rFonts w:ascii="Arial" w:hAnsi="Arial"/>
                <w:color w:val="171717"/>
                <w:sz w:val="17"/>
              </w:rPr>
              <w:t>TBD policy</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7"/>
              </w:rPr>
              <w:t>Refund allocation</w:t>
            </w:r>
          </w:p>
        </w:tc>
        <w:tc>
          <w:tcPr>
            <w:tcW w:type="dxa" w:w="5760"/>
            <w:tcMar>
              <w:top w:w="105" w:type="dxa"/>
              <w:start w:w="130" w:type="dxa"/>
              <w:bottom w:w="105" w:type="dxa"/>
              <w:end w:w="130" w:type="dxa"/>
            </w:tcMar>
            <w:vAlign w:val="center"/>
          </w:tcPr>
          <w:p>
            <w:pPr>
              <w:jc w:val="left"/>
            </w:pPr>
            <w:r>
              <w:rPr>
                <w:rFonts w:ascii="Arial" w:hAnsi="Arial"/>
                <w:color w:val="171717"/>
                <w:sz w:val="17"/>
              </w:rPr>
              <w:t>Define proportional manual or tender-priority refund allocation and ensure totals cannot exceed net captured value.</w:t>
            </w:r>
          </w:p>
        </w:tc>
        <w:tc>
          <w:tcPr>
            <w:tcW w:type="dxa" w:w="1944"/>
            <w:tcMar>
              <w:top w:w="105" w:type="dxa"/>
              <w:start w:w="130" w:type="dxa"/>
              <w:bottom w:w="105" w:type="dxa"/>
              <w:end w:w="130" w:type="dxa"/>
            </w:tcMar>
            <w:vAlign w:val="center"/>
          </w:tcPr>
          <w:p>
            <w:pPr>
              <w:jc w:val="left"/>
            </w:pPr>
            <w:r>
              <w:rPr>
                <w:rFonts w:ascii="Arial" w:hAnsi="Arial"/>
                <w:color w:val="171717"/>
                <w:sz w:val="17"/>
              </w:rPr>
              <w:t>TBD policy</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7"/>
              </w:rPr>
              <w:t>KOT timing</w:t>
            </w:r>
          </w:p>
        </w:tc>
        <w:tc>
          <w:tcPr>
            <w:tcW w:type="dxa" w:w="5760"/>
            <w:shd w:fill="F6F6F4"/>
            <w:tcMar>
              <w:top w:w="105" w:type="dxa"/>
              <w:start w:w="130" w:type="dxa"/>
              <w:bottom w:w="105" w:type="dxa"/>
              <w:end w:w="130" w:type="dxa"/>
            </w:tcMar>
            <w:vAlign w:val="center"/>
          </w:tcPr>
          <w:p>
            <w:pPr>
              <w:jc w:val="left"/>
            </w:pPr>
            <w:r>
              <w:rPr>
                <w:rFonts w:ascii="Arial" w:hAnsi="Arial"/>
                <w:color w:val="171717"/>
                <w:sz w:val="17"/>
              </w:rPr>
              <w:t>Decide whether KOT creation occurs before payment after first tender or only after full settlement.</w:t>
            </w:r>
          </w:p>
        </w:tc>
        <w:tc>
          <w:tcPr>
            <w:tcW w:type="dxa" w:w="1944"/>
            <w:shd w:fill="F6F6F4"/>
            <w:tcMar>
              <w:top w:w="105" w:type="dxa"/>
              <w:start w:w="130" w:type="dxa"/>
              <w:bottom w:w="105" w:type="dxa"/>
              <w:end w:w="130" w:type="dxa"/>
            </w:tcMar>
            <w:vAlign w:val="center"/>
          </w:tcPr>
          <w:p>
            <w:pPr>
              <w:jc w:val="left"/>
            </w:pPr>
            <w:r>
              <w:rPr>
                <w:rFonts w:ascii="Arial" w:hAnsi="Arial"/>
                <w:color w:val="171717"/>
                <w:sz w:val="17"/>
              </w:rPr>
              <w:t>Blocking product decision</w:t>
            </w:r>
          </w:p>
        </w:tc>
      </w:tr>
    </w:tbl>
    <w:p>
      <w:pPr>
        <w:spacing w:after="20"/>
      </w:pPr>
    </w:p>
    <w:p>
      <w:r>
        <w:rPr>
          <w:rFonts w:ascii="Arial" w:hAnsi="Arial"/>
          <w:b/>
        </w:rPr>
        <w:t xml:space="preserve">Readiness classification. </w:t>
      </w:r>
      <w:r>
        <w:t>Split payment is structurally supported but not yet production-ready until these backend rules and tests are implemented.</w:t>
      </w:r>
    </w:p>
    <w:p>
      <w:pPr>
        <w:pStyle w:val="Heading1"/>
      </w:pPr>
      <w:r>
        <w:t>System boundaries and tenant model</w:t>
      </w:r>
    </w:p>
    <w:p>
      <w:pPr>
        <w:spacing w:before="100" w:after="160"/>
        <w:jc w:val="center"/>
      </w:pPr>
      <w:r>
        <w:drawing>
          <wp:inline xmlns:a="http://schemas.openxmlformats.org/drawingml/2006/main" xmlns:pic="http://schemas.openxmlformats.org/drawingml/2006/picture">
            <wp:extent cx="5989320" cy="3154375"/>
            <wp:docPr id="3" name="Picture 3" descr="Diagram of central platform campus canteen assignment outlet counter and POS terminal hierarchy"/>
            <wp:cNvGraphicFramePr>
              <a:graphicFrameLocks noChangeAspect="1"/>
            </wp:cNvGraphicFramePr>
            <a:graphic>
              <a:graphicData uri="http://schemas.openxmlformats.org/drawingml/2006/picture">
                <pic:pic>
                  <pic:nvPicPr>
                    <pic:cNvPr id="0" name="tenant-hierarchy.png"/>
                    <pic:cNvPicPr/>
                  </pic:nvPicPr>
                  <pic:blipFill>
                    <a:blip r:embed="rId15"/>
                    <a:stretch>
                      <a:fillRect/>
                    </a:stretch>
                  </pic:blipFill>
                  <pic:spPr>
                    <a:xfrm>
                      <a:off x="0" y="0"/>
                      <a:ext cx="5989320" cy="3154375"/>
                    </a:xfrm>
                    <a:prstGeom prst="rect"/>
                  </pic:spPr>
                </pic:pic>
              </a:graphicData>
            </a:graphic>
          </wp:inline>
        </w:drawing>
      </w:r>
    </w:p>
    <w:p>
      <w:r>
        <w:t>The canteen is the operating organization. A campus_canteens record assigns that canteen to a campus. Physical outlets belong to the assignment, counters belong to an outlet, and terminals are registered at the correct outlet and counter. This avoids treating a canteen brand and a physical serving location as the same entity.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1872"/>
            <w:shd w:fill="4A4A4A"/>
            <w:tcMar>
              <w:top w:w="120" w:type="dxa"/>
              <w:start w:w="130" w:type="dxa"/>
              <w:bottom w:w="120" w:type="dxa"/>
              <w:end w:w="130" w:type="dxa"/>
            </w:tcMar>
            <w:vAlign w:val="center"/>
          </w:tcPr>
          <w:p>
            <w:pPr>
              <w:jc w:val="center"/>
            </w:pPr>
            <w:r>
              <w:rPr>
                <w:rFonts w:ascii="Arial" w:hAnsi="Arial"/>
                <w:b/>
                <w:color w:val="FFFFFF"/>
                <w:sz w:val="18"/>
              </w:rPr>
              <w:t>Level</w:t>
            </w:r>
          </w:p>
        </w:tc>
        <w:tc>
          <w:tcPr>
            <w:tcW w:type="dxa" w:w="7560"/>
            <w:shd w:fill="4A4A4A"/>
            <w:tcMar>
              <w:top w:w="120" w:type="dxa"/>
              <w:start w:w="130" w:type="dxa"/>
              <w:bottom w:w="120" w:type="dxa"/>
              <w:end w:w="130" w:type="dxa"/>
            </w:tcMar>
            <w:vAlign w:val="center"/>
          </w:tcPr>
          <w:p>
            <w:pPr>
              <w:jc w:val="center"/>
            </w:pPr>
            <w:r>
              <w:rPr>
                <w:rFonts w:ascii="Arial" w:hAnsi="Arial"/>
                <w:b/>
                <w:color w:val="FFFFFF"/>
                <w:sz w:val="18"/>
              </w:rPr>
              <w:t>Responsibility</w:t>
            </w:r>
          </w:p>
        </w:tc>
      </w:tr>
      <w:tr>
        <w:trPr>
          <w:cantSplit w:val="true"/>
        </w:trPr>
        <w:tc>
          <w:tcPr>
            <w:tcW w:type="dxa" w:w="1872"/>
            <w:tcMar>
              <w:top w:w="105" w:type="dxa"/>
              <w:start w:w="130" w:type="dxa"/>
              <w:bottom w:w="105" w:type="dxa"/>
              <w:end w:w="130" w:type="dxa"/>
            </w:tcMar>
            <w:vAlign w:val="center"/>
          </w:tcPr>
          <w:p>
            <w:pPr>
              <w:jc w:val="left"/>
            </w:pPr>
            <w:r>
              <w:rPr>
                <w:rFonts w:ascii="Arial" w:hAnsi="Arial"/>
                <w:color w:val="171717"/>
                <w:sz w:val="18"/>
              </w:rPr>
              <w:t>Platform</w:t>
            </w:r>
          </w:p>
        </w:tc>
        <w:tc>
          <w:tcPr>
            <w:tcW w:type="dxa" w:w="7560"/>
            <w:tcMar>
              <w:top w:w="105" w:type="dxa"/>
              <w:start w:w="130" w:type="dxa"/>
              <w:bottom w:w="105" w:type="dxa"/>
              <w:end w:w="130" w:type="dxa"/>
            </w:tcMar>
            <w:vAlign w:val="center"/>
          </w:tcPr>
          <w:p>
            <w:pPr>
              <w:jc w:val="left"/>
            </w:pPr>
            <w:r>
              <w:rPr>
                <w:rFonts w:ascii="Arial" w:hAnsi="Arial"/>
                <w:color w:val="171717"/>
                <w:sz w:val="18"/>
              </w:rPr>
              <w:t>Global settings feature definitions system roles campus onboarding and cross-tenant governance</w:t>
            </w:r>
          </w:p>
        </w:tc>
      </w:tr>
      <w:tr>
        <w:trPr>
          <w:cantSplit w:val="true"/>
        </w:trPr>
        <w:tc>
          <w:tcPr>
            <w:tcW w:type="dxa" w:w="1872"/>
            <w:shd w:fill="F6F6F4"/>
            <w:tcMar>
              <w:top w:w="105" w:type="dxa"/>
              <w:start w:w="130" w:type="dxa"/>
              <w:bottom w:w="105" w:type="dxa"/>
              <w:end w:w="130" w:type="dxa"/>
            </w:tcMar>
            <w:vAlign w:val="center"/>
          </w:tcPr>
          <w:p>
            <w:pPr>
              <w:jc w:val="left"/>
            </w:pPr>
            <w:r>
              <w:rPr>
                <w:rFonts w:ascii="Arial" w:hAnsi="Arial"/>
                <w:color w:val="171717"/>
                <w:sz w:val="18"/>
              </w:rPr>
              <w:t>Campus</w:t>
            </w:r>
          </w:p>
        </w:tc>
        <w:tc>
          <w:tcPr>
            <w:tcW w:type="dxa" w:w="7560"/>
            <w:shd w:fill="F6F6F4"/>
            <w:tcMar>
              <w:top w:w="105" w:type="dxa"/>
              <w:start w:w="130" w:type="dxa"/>
              <w:bottom w:w="105" w:type="dxa"/>
              <w:end w:w="130" w:type="dxa"/>
            </w:tcMar>
            <w:vAlign w:val="center"/>
          </w:tcPr>
          <w:p>
            <w:pPr>
              <w:jc w:val="left"/>
            </w:pPr>
            <w:r>
              <w:rPr>
                <w:rFonts w:ascii="Arial" w:hAnsi="Arial"/>
                <w:color w:val="171717"/>
                <w:sz w:val="18"/>
              </w:rPr>
              <w:t>Campus profile timezone contact settings and canteen assignments</w:t>
            </w:r>
          </w:p>
        </w:tc>
      </w:tr>
      <w:tr>
        <w:trPr>
          <w:cantSplit w:val="true"/>
        </w:trPr>
        <w:tc>
          <w:tcPr>
            <w:tcW w:type="dxa" w:w="1872"/>
            <w:tcMar>
              <w:top w:w="105" w:type="dxa"/>
              <w:start w:w="130" w:type="dxa"/>
              <w:bottom w:w="105" w:type="dxa"/>
              <w:end w:w="130" w:type="dxa"/>
            </w:tcMar>
            <w:vAlign w:val="center"/>
          </w:tcPr>
          <w:p>
            <w:pPr>
              <w:jc w:val="left"/>
            </w:pPr>
            <w:r>
              <w:rPr>
                <w:rFonts w:ascii="Arial" w:hAnsi="Arial"/>
                <w:color w:val="171717"/>
                <w:sz w:val="18"/>
              </w:rPr>
              <w:t>Canteen</w:t>
            </w:r>
          </w:p>
        </w:tc>
        <w:tc>
          <w:tcPr>
            <w:tcW w:type="dxa" w:w="7560"/>
            <w:tcMar>
              <w:top w:w="105" w:type="dxa"/>
              <w:start w:w="130" w:type="dxa"/>
              <w:bottom w:w="105" w:type="dxa"/>
              <w:end w:w="130" w:type="dxa"/>
            </w:tcMar>
            <w:vAlign w:val="center"/>
          </w:tcPr>
          <w:p>
            <w:pPr>
              <w:jc w:val="left"/>
            </w:pPr>
            <w:r>
              <w:rPr>
                <w:rFonts w:ascii="Arial" w:hAnsi="Arial"/>
                <w:color w:val="171717"/>
                <w:sz w:val="18"/>
              </w:rPr>
              <w:t>Operating organization catalog ownership feature entitlements payment configuration and staff scope</w:t>
            </w:r>
          </w:p>
        </w:tc>
      </w:tr>
      <w:tr>
        <w:trPr>
          <w:cantSplit w:val="true"/>
        </w:trPr>
        <w:tc>
          <w:tcPr>
            <w:tcW w:type="dxa" w:w="1872"/>
            <w:shd w:fill="F6F6F4"/>
            <w:tcMar>
              <w:top w:w="105" w:type="dxa"/>
              <w:start w:w="130" w:type="dxa"/>
              <w:bottom w:w="105" w:type="dxa"/>
              <w:end w:w="130" w:type="dxa"/>
            </w:tcMar>
            <w:vAlign w:val="center"/>
          </w:tcPr>
          <w:p>
            <w:pPr>
              <w:jc w:val="left"/>
            </w:pPr>
            <w:r>
              <w:rPr>
                <w:rFonts w:ascii="Arial" w:hAnsi="Arial"/>
                <w:color w:val="171717"/>
                <w:sz w:val="18"/>
              </w:rPr>
              <w:t>Outlet</w:t>
            </w:r>
          </w:p>
        </w:tc>
        <w:tc>
          <w:tcPr>
            <w:tcW w:type="dxa" w:w="7560"/>
            <w:shd w:fill="F6F6F4"/>
            <w:tcMar>
              <w:top w:w="105" w:type="dxa"/>
              <w:start w:w="130" w:type="dxa"/>
              <w:bottom w:w="105" w:type="dxa"/>
              <w:end w:w="130" w:type="dxa"/>
            </w:tcMar>
            <w:vAlign w:val="center"/>
          </w:tcPr>
          <w:p>
            <w:pPr>
              <w:jc w:val="left"/>
            </w:pPr>
            <w:r>
              <w:rPr>
                <w:rFonts w:ascii="Arial" w:hAnsi="Arial"/>
                <w:color w:val="171717"/>
                <w:sz w:val="18"/>
              </w:rPr>
              <w:t>Physical operation hours closures menu publication pricing inventory kitchen printers registers and reporting scope</w:t>
            </w:r>
          </w:p>
        </w:tc>
      </w:tr>
      <w:tr>
        <w:trPr>
          <w:cantSplit w:val="true"/>
        </w:trPr>
        <w:tc>
          <w:tcPr>
            <w:tcW w:type="dxa" w:w="1872"/>
            <w:tcMar>
              <w:top w:w="105" w:type="dxa"/>
              <w:start w:w="130" w:type="dxa"/>
              <w:bottom w:w="105" w:type="dxa"/>
              <w:end w:w="130" w:type="dxa"/>
            </w:tcMar>
            <w:vAlign w:val="center"/>
          </w:tcPr>
          <w:p>
            <w:pPr>
              <w:jc w:val="left"/>
            </w:pPr>
            <w:r>
              <w:rPr>
                <w:rFonts w:ascii="Arial" w:hAnsi="Arial"/>
                <w:color w:val="171717"/>
                <w:sz w:val="18"/>
              </w:rPr>
              <w:t>Counter</w:t>
            </w:r>
          </w:p>
        </w:tc>
        <w:tc>
          <w:tcPr>
            <w:tcW w:type="dxa" w:w="7560"/>
            <w:tcMar>
              <w:top w:w="105" w:type="dxa"/>
              <w:start w:w="130" w:type="dxa"/>
              <w:bottom w:w="105" w:type="dxa"/>
              <w:end w:w="130" w:type="dxa"/>
            </w:tcMar>
            <w:vAlign w:val="center"/>
          </w:tcPr>
          <w:p>
            <w:pPr>
              <w:jc w:val="left"/>
            </w:pPr>
            <w:r>
              <w:rPr>
                <w:rFonts w:ascii="Arial" w:hAnsi="Arial"/>
                <w:color w:val="171717"/>
                <w:sz w:val="18"/>
              </w:rPr>
              <w:t>Pickup location daily token namespace and terminal association</w:t>
            </w:r>
          </w:p>
        </w:tc>
      </w:tr>
      <w:tr>
        <w:trPr>
          <w:cantSplit w:val="true"/>
        </w:trPr>
        <w:tc>
          <w:tcPr>
            <w:tcW w:type="dxa" w:w="1872"/>
            <w:shd w:fill="F6F6F4"/>
            <w:tcMar>
              <w:top w:w="105" w:type="dxa"/>
              <w:start w:w="130" w:type="dxa"/>
              <w:bottom w:w="105" w:type="dxa"/>
              <w:end w:w="130" w:type="dxa"/>
            </w:tcMar>
            <w:vAlign w:val="center"/>
          </w:tcPr>
          <w:p>
            <w:pPr>
              <w:jc w:val="left"/>
            </w:pPr>
            <w:r>
              <w:rPr>
                <w:rFonts w:ascii="Arial" w:hAnsi="Arial"/>
                <w:color w:val="171717"/>
                <w:sz w:val="18"/>
              </w:rPr>
              <w:t>Terminal</w:t>
            </w:r>
          </w:p>
        </w:tc>
        <w:tc>
          <w:tcPr>
            <w:tcW w:type="dxa" w:w="7560"/>
            <w:shd w:fill="F6F6F4"/>
            <w:tcMar>
              <w:top w:w="105" w:type="dxa"/>
              <w:start w:w="130" w:type="dxa"/>
              <w:bottom w:w="105" w:type="dxa"/>
              <w:end w:w="130" w:type="dxa"/>
            </w:tcMar>
            <w:vAlign w:val="center"/>
          </w:tcPr>
          <w:p>
            <w:pPr>
              <w:jc w:val="left"/>
            </w:pPr>
            <w:r>
              <w:rPr>
                <w:rFonts w:ascii="Arial" w:hAnsi="Arial"/>
                <w:color w:val="171717"/>
                <w:sz w:val="18"/>
              </w:rPr>
              <w:t>Registered POS device operational context and audit attribution</w:t>
            </w:r>
          </w:p>
        </w:tc>
      </w:tr>
    </w:tbl>
    <w:p>
      <w:pPr>
        <w:spacing w:after="20"/>
      </w:pPr>
    </w:p>
    <w:p>
      <w:pPr>
        <w:pStyle w:val="Heading2"/>
      </w:pPr>
      <w:r>
        <w:t>Identity authorization and feature control</w:t>
      </w:r>
    </w:p>
    <w:p>
      <w:pPr>
        <w:pStyle w:val="ListBullet"/>
      </w:pPr>
      <w:r>
        <w:t>Global app users may have provider identities revocable sessions and expiring login challenges.</w:t>
      </w:r>
    </w:p>
    <w:p>
      <w:pPr>
        <w:pStyle w:val="ListBullet"/>
      </w:pPr>
      <w:r>
        <w:t>Student profiles and campus memberships remain distinct from staff access.</w:t>
      </w:r>
    </w:p>
    <w:p>
      <w:pPr>
        <w:pStyle w:val="ListBullet"/>
      </w:pPr>
      <w:r>
        <w:t>Staff authorization is modeled through scoped memberships roles permissions and membership-role assignments.</w:t>
      </w:r>
    </w:p>
    <w:p>
      <w:pPr>
        <w:pStyle w:val="ListBullet"/>
      </w:pPr>
      <w:r>
        <w:t>Feature definitions and canteen_features allow optional modules to remain disabled until approved.</w:t>
      </w:r>
    </w:p>
    <w:p>
      <w:pPr>
        <w:pStyle w:val="ListBullet"/>
      </w:pPr>
      <w:r>
        <w:t>Final runtime database grants and row-level security depend on the selected backend authentication framework and remain TBD.</w:t>
      </w:r>
    </w:p>
    <w:p>
      <w:pPr>
        <w:pStyle w:val="Heading1"/>
      </w:pPr>
      <w:r>
        <w:t>Catalog pricing tax and inventory</w:t>
      </w:r>
    </w:p>
    <w:p>
      <w:r>
        <w:t>Catalog data separates canonical products from outlet-specific selling conditions. A menu can be scheduled and assigned to outlets, categories can be hierarchical, and each item can expose variants plus add-on groups with explicit selection rules. Historical order lines copy the accepted names quantities and prices so later catalog edits do not rewrite a receipt or KOT.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cantSplit w:val="true"/>
        </w:trPr>
        <w:tc>
          <w:tcPr>
            <w:tcW w:type="dxa" w:w="1944"/>
            <w:shd w:fill="4A4A4A"/>
            <w:tcMar>
              <w:top w:w="120" w:type="dxa"/>
              <w:start w:w="130" w:type="dxa"/>
              <w:bottom w:w="120" w:type="dxa"/>
              <w:end w:w="130" w:type="dxa"/>
            </w:tcMar>
            <w:vAlign w:val="center"/>
          </w:tcPr>
          <w:p>
            <w:pPr>
              <w:jc w:val="center"/>
            </w:pPr>
            <w:r>
              <w:rPr>
                <w:rFonts w:ascii="Arial" w:hAnsi="Arial"/>
                <w:b/>
                <w:color w:val="FFFFFF"/>
                <w:sz w:val="18"/>
              </w:rPr>
              <w:t>Capability</w:t>
            </w:r>
          </w:p>
        </w:tc>
        <w:tc>
          <w:tcPr>
            <w:tcW w:type="dxa" w:w="5976"/>
            <w:shd w:fill="4A4A4A"/>
            <w:tcMar>
              <w:top w:w="120" w:type="dxa"/>
              <w:start w:w="130" w:type="dxa"/>
              <w:bottom w:w="120" w:type="dxa"/>
              <w:end w:w="130" w:type="dxa"/>
            </w:tcMar>
            <w:vAlign w:val="center"/>
          </w:tcPr>
          <w:p>
            <w:pPr>
              <w:jc w:val="center"/>
            </w:pPr>
            <w:r>
              <w:rPr>
                <w:rFonts w:ascii="Arial" w:hAnsi="Arial"/>
                <w:b/>
                <w:color w:val="FFFFFF"/>
                <w:sz w:val="18"/>
              </w:rPr>
              <w:t>Model coverage</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Default scope</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7"/>
              </w:rPr>
              <w:t>Menus and schedules</w:t>
            </w:r>
          </w:p>
        </w:tc>
        <w:tc>
          <w:tcPr>
            <w:tcW w:type="dxa" w:w="5976"/>
            <w:tcMar>
              <w:top w:w="105" w:type="dxa"/>
              <w:start w:w="130" w:type="dxa"/>
              <w:bottom w:w="105" w:type="dxa"/>
              <w:end w:w="130" w:type="dxa"/>
            </w:tcMar>
            <w:vAlign w:val="center"/>
          </w:tcPr>
          <w:p>
            <w:pPr>
              <w:jc w:val="left"/>
            </w:pPr>
            <w:r>
              <w:rPr>
                <w:rFonts w:ascii="Arial" w:hAnsi="Arial"/>
                <w:color w:val="171717"/>
                <w:sz w:val="17"/>
              </w:rPr>
              <w:t>Menus menu outlets schedules categories and category ordering</w:t>
            </w:r>
          </w:p>
        </w:tc>
        <w:tc>
          <w:tcPr>
            <w:tcW w:type="dxa" w:w="1512"/>
            <w:tcMar>
              <w:top w:w="105" w:type="dxa"/>
              <w:start w:w="130" w:type="dxa"/>
              <w:bottom w:w="105" w:type="dxa"/>
              <w:end w:w="130" w:type="dxa"/>
            </w:tcMar>
            <w:vAlign w:val="center"/>
          </w:tcPr>
          <w:p>
            <w:pPr>
              <w:jc w:val="left"/>
            </w:pPr>
            <w:r>
              <w:rPr>
                <w:rFonts w:ascii="Arial" w:hAnsi="Arial"/>
                <w:color w:val="171717"/>
                <w:sz w:val="17"/>
              </w:rPr>
              <w:t>Core</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7"/>
              </w:rPr>
              <w:t>Items and variants</w:t>
            </w:r>
          </w:p>
        </w:tc>
        <w:tc>
          <w:tcPr>
            <w:tcW w:type="dxa" w:w="5976"/>
            <w:shd w:fill="F6F6F4"/>
            <w:tcMar>
              <w:top w:w="105" w:type="dxa"/>
              <w:start w:w="130" w:type="dxa"/>
              <w:bottom w:w="105" w:type="dxa"/>
              <w:end w:w="130" w:type="dxa"/>
            </w:tcMar>
            <w:vAlign w:val="center"/>
          </w:tcPr>
          <w:p>
            <w:pPr>
              <w:jc w:val="left"/>
            </w:pPr>
            <w:r>
              <w:rPr>
                <w:rFonts w:ascii="Arial" w:hAnsi="Arial"/>
                <w:color w:val="171717"/>
                <w:sz w:val="17"/>
              </w:rPr>
              <w:t>Canonical items media SKU dietary class preparation time variants and one default variant</w:t>
            </w:r>
          </w:p>
        </w:tc>
        <w:tc>
          <w:tcPr>
            <w:tcW w:type="dxa" w:w="1512"/>
            <w:shd w:fill="F6F6F4"/>
            <w:tcMar>
              <w:top w:w="105" w:type="dxa"/>
              <w:start w:w="130" w:type="dxa"/>
              <w:bottom w:w="105" w:type="dxa"/>
              <w:end w:w="130" w:type="dxa"/>
            </w:tcMar>
            <w:vAlign w:val="center"/>
          </w:tcPr>
          <w:p>
            <w:pPr>
              <w:jc w:val="left"/>
            </w:pPr>
            <w:r>
              <w:rPr>
                <w:rFonts w:ascii="Arial" w:hAnsi="Arial"/>
                <w:color w:val="171717"/>
                <w:sz w:val="17"/>
              </w:rPr>
              <w:t>Core</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7"/>
              </w:rPr>
              <w:t>Add-ons</w:t>
            </w:r>
          </w:p>
        </w:tc>
        <w:tc>
          <w:tcPr>
            <w:tcW w:type="dxa" w:w="5976"/>
            <w:tcMar>
              <w:top w:w="105" w:type="dxa"/>
              <w:start w:w="130" w:type="dxa"/>
              <w:bottom w:w="105" w:type="dxa"/>
              <w:end w:w="130" w:type="dxa"/>
            </w:tcMar>
            <w:vAlign w:val="center"/>
          </w:tcPr>
          <w:p>
            <w:pPr>
              <w:jc w:val="left"/>
            </w:pPr>
            <w:r>
              <w:rPr>
                <w:rFonts w:ascii="Arial" w:hAnsi="Arial"/>
                <w:color w:val="171717"/>
                <w:sz w:val="17"/>
              </w:rPr>
              <w:t>Modifier groups options min max free selections quantities item-level and variant-level assignment</w:t>
            </w:r>
          </w:p>
        </w:tc>
        <w:tc>
          <w:tcPr>
            <w:tcW w:type="dxa" w:w="1512"/>
            <w:tcMar>
              <w:top w:w="105" w:type="dxa"/>
              <w:start w:w="130" w:type="dxa"/>
              <w:bottom w:w="105" w:type="dxa"/>
              <w:end w:w="130" w:type="dxa"/>
            </w:tcMar>
            <w:vAlign w:val="center"/>
          </w:tcPr>
          <w:p>
            <w:pPr>
              <w:jc w:val="left"/>
            </w:pPr>
            <w:r>
              <w:rPr>
                <w:rFonts w:ascii="Arial" w:hAnsi="Arial"/>
                <w:color w:val="171717"/>
                <w:sz w:val="17"/>
              </w:rPr>
              <w:t>Core</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7"/>
              </w:rPr>
              <w:t>Outlet selling</w:t>
            </w:r>
          </w:p>
        </w:tc>
        <w:tc>
          <w:tcPr>
            <w:tcW w:type="dxa" w:w="5976"/>
            <w:shd w:fill="F6F6F4"/>
            <w:tcMar>
              <w:top w:w="105" w:type="dxa"/>
              <w:start w:w="130" w:type="dxa"/>
              <w:bottom w:w="105" w:type="dxa"/>
              <w:end w:w="130" w:type="dxa"/>
            </w:tcMar>
            <w:vAlign w:val="center"/>
          </w:tcPr>
          <w:p>
            <w:pPr>
              <w:jc w:val="left"/>
            </w:pPr>
            <w:r>
              <w:rPr>
                <w:rFonts w:ascii="Arial" w:hAnsi="Arial"/>
                <w:color w:val="171717"/>
                <w:sz w:val="17"/>
              </w:rPr>
              <w:t>Price overrides availability sold-out windows daily limits and channel-aware scheduled price rules</w:t>
            </w:r>
          </w:p>
        </w:tc>
        <w:tc>
          <w:tcPr>
            <w:tcW w:type="dxa" w:w="1512"/>
            <w:shd w:fill="F6F6F4"/>
            <w:tcMar>
              <w:top w:w="105" w:type="dxa"/>
              <w:start w:w="130" w:type="dxa"/>
              <w:bottom w:w="105" w:type="dxa"/>
              <w:end w:w="130" w:type="dxa"/>
            </w:tcMar>
            <w:vAlign w:val="center"/>
          </w:tcPr>
          <w:p>
            <w:pPr>
              <w:jc w:val="left"/>
            </w:pPr>
            <w:r>
              <w:rPr>
                <w:rFonts w:ascii="Arial" w:hAnsi="Arial"/>
                <w:color w:val="171717"/>
                <w:sz w:val="17"/>
              </w:rPr>
              <w:t>Core</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7"/>
              </w:rPr>
              <w:t>Tax</w:t>
            </w:r>
          </w:p>
        </w:tc>
        <w:tc>
          <w:tcPr>
            <w:tcW w:type="dxa" w:w="5976"/>
            <w:tcMar>
              <w:top w:w="105" w:type="dxa"/>
              <w:start w:w="130" w:type="dxa"/>
              <w:bottom w:w="105" w:type="dxa"/>
              <w:end w:w="130" w:type="dxa"/>
            </w:tcMar>
            <w:vAlign w:val="center"/>
          </w:tcPr>
          <w:p>
            <w:pPr>
              <w:jc w:val="left"/>
            </w:pPr>
            <w:r>
              <w:rPr>
                <w:rFonts w:ascii="Arial" w:hAnsi="Arial"/>
                <w:color w:val="171717"/>
                <w:sz w:val="17"/>
              </w:rPr>
              <w:t>Tax categories multiple effective rates inclusive pricing compound order and immutable order tax lines</w:t>
            </w:r>
          </w:p>
        </w:tc>
        <w:tc>
          <w:tcPr>
            <w:tcW w:type="dxa" w:w="1512"/>
            <w:tcMar>
              <w:top w:w="105" w:type="dxa"/>
              <w:start w:w="130" w:type="dxa"/>
              <w:bottom w:w="105" w:type="dxa"/>
              <w:end w:w="130" w:type="dxa"/>
            </w:tcMar>
            <w:vAlign w:val="center"/>
          </w:tcPr>
          <w:p>
            <w:pPr>
              <w:jc w:val="left"/>
            </w:pPr>
            <w:r>
              <w:rPr>
                <w:rFonts w:ascii="Arial" w:hAnsi="Arial"/>
                <w:color w:val="171717"/>
                <w:sz w:val="17"/>
              </w:rPr>
              <w:t>Core</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7"/>
              </w:rPr>
              <w:t>Service charges</w:t>
            </w:r>
          </w:p>
        </w:tc>
        <w:tc>
          <w:tcPr>
            <w:tcW w:type="dxa" w:w="5976"/>
            <w:shd w:fill="F6F6F4"/>
            <w:tcMar>
              <w:top w:w="105" w:type="dxa"/>
              <w:start w:w="130" w:type="dxa"/>
              <w:bottom w:w="105" w:type="dxa"/>
              <w:end w:w="130" w:type="dxa"/>
            </w:tcMar>
            <w:vAlign w:val="center"/>
          </w:tcPr>
          <w:p>
            <w:pPr>
              <w:jc w:val="left"/>
            </w:pPr>
            <w:r>
              <w:rPr>
                <w:rFonts w:ascii="Arial" w:hAnsi="Arial"/>
                <w:color w:val="171717"/>
                <w:sz w:val="17"/>
              </w:rPr>
              <w:t>Fixed or percentage charges by scope channel and effective period</w:t>
            </w:r>
          </w:p>
        </w:tc>
        <w:tc>
          <w:tcPr>
            <w:tcW w:type="dxa" w:w="1512"/>
            <w:shd w:fill="F6F6F4"/>
            <w:tcMar>
              <w:top w:w="105" w:type="dxa"/>
              <w:start w:w="130" w:type="dxa"/>
              <w:bottom w:w="105" w:type="dxa"/>
              <w:end w:w="130" w:type="dxa"/>
            </w:tcMar>
            <w:vAlign w:val="center"/>
          </w:tcPr>
          <w:p>
            <w:pPr>
              <w:jc w:val="left"/>
            </w:pPr>
            <w:r>
              <w:rPr>
                <w:rFonts w:ascii="Arial" w:hAnsi="Arial"/>
                <w:color w:val="171717"/>
                <w:sz w:val="17"/>
              </w:rPr>
              <w:t>Supported</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7"/>
              </w:rPr>
              <w:t>Allergens</w:t>
            </w:r>
          </w:p>
        </w:tc>
        <w:tc>
          <w:tcPr>
            <w:tcW w:type="dxa" w:w="5976"/>
            <w:tcMar>
              <w:top w:w="105" w:type="dxa"/>
              <w:start w:w="130" w:type="dxa"/>
              <w:bottom w:w="105" w:type="dxa"/>
              <w:end w:w="130" w:type="dxa"/>
            </w:tcMar>
            <w:vAlign w:val="center"/>
          </w:tcPr>
          <w:p>
            <w:pPr>
              <w:jc w:val="left"/>
            </w:pPr>
            <w:r>
              <w:rPr>
                <w:rFonts w:ascii="Arial" w:hAnsi="Arial"/>
                <w:color w:val="171717"/>
                <w:sz w:val="17"/>
              </w:rPr>
              <w:t>Allergen registry and item mappings</w:t>
            </w:r>
          </w:p>
        </w:tc>
        <w:tc>
          <w:tcPr>
            <w:tcW w:type="dxa" w:w="1512"/>
            <w:tcMar>
              <w:top w:w="105" w:type="dxa"/>
              <w:start w:w="130" w:type="dxa"/>
              <w:bottom w:w="105" w:type="dxa"/>
              <w:end w:w="130" w:type="dxa"/>
            </w:tcMar>
            <w:vAlign w:val="center"/>
          </w:tcPr>
          <w:p>
            <w:pPr>
              <w:jc w:val="left"/>
            </w:pPr>
            <w:r>
              <w:rPr>
                <w:rFonts w:ascii="Arial" w:hAnsi="Arial"/>
                <w:color w:val="171717"/>
                <w:sz w:val="17"/>
              </w:rPr>
              <w:t>Supported</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7"/>
              </w:rPr>
              <w:t>Inventory</w:t>
            </w:r>
          </w:p>
        </w:tc>
        <w:tc>
          <w:tcPr>
            <w:tcW w:type="dxa" w:w="5976"/>
            <w:shd w:fill="F6F6F4"/>
            <w:tcMar>
              <w:top w:w="105" w:type="dxa"/>
              <w:start w:w="130" w:type="dxa"/>
              <w:bottom w:w="105" w:type="dxa"/>
              <w:end w:w="130" w:type="dxa"/>
            </w:tcMar>
            <w:vAlign w:val="center"/>
          </w:tcPr>
          <w:p>
            <w:pPr>
              <w:jc w:val="left"/>
            </w:pPr>
            <w:r>
              <w:rPr>
                <w:rFonts w:ascii="Arial" w:hAnsi="Arial"/>
                <w:color w:val="171717"/>
                <w:sz w:val="17"/>
              </w:rPr>
              <w:t>Ingredients recipes balances versions and immutable movements</w:t>
            </w:r>
          </w:p>
        </w:tc>
        <w:tc>
          <w:tcPr>
            <w:tcW w:type="dxa" w:w="1512"/>
            <w:shd w:fill="F6F6F4"/>
            <w:tcMar>
              <w:top w:w="105" w:type="dxa"/>
              <w:start w:w="130" w:type="dxa"/>
              <w:bottom w:w="105" w:type="dxa"/>
              <w:end w:w="130" w:type="dxa"/>
            </w:tcMar>
            <w:vAlign w:val="center"/>
          </w:tcPr>
          <w:p>
            <w:pPr>
              <w:jc w:val="left"/>
            </w:pPr>
            <w:r>
              <w:rPr>
                <w:rFonts w:ascii="Arial" w:hAnsi="Arial"/>
                <w:color w:val="171717"/>
                <w:sz w:val="17"/>
              </w:rPr>
              <w:t>Optional disabled</w:t>
            </w:r>
          </w:p>
        </w:tc>
      </w:tr>
    </w:tbl>
    <w:p>
      <w:pPr>
        <w:spacing w:after="20"/>
      </w:pPr>
    </w:p>
    <w:p>
      <w:pPr>
        <w:pStyle w:val="Heading2"/>
      </w:pPr>
      <w:r>
        <w:t>Pricing rules that application code must own</w:t>
      </w:r>
    </w:p>
    <w:p>
      <w:pPr>
        <w:pStyle w:val="ListBullet"/>
      </w:pPr>
      <w:r>
        <w:t>Select the active outlet menu schedule availability and price rule for the requested channel and time.</w:t>
      </w:r>
    </w:p>
    <w:p>
      <w:pPr>
        <w:pStyle w:val="ListBullet"/>
      </w:pPr>
      <w:r>
        <w:t>Validate variant and modifier eligibility and min/max quantities before calculating totals.</w:t>
      </w:r>
    </w:p>
    <w:p>
      <w:pPr>
        <w:pStyle w:val="ListBullet"/>
      </w:pPr>
      <w:r>
        <w:t>Apply tax component ordering inclusive-tax extraction discounts and service charges using approved rounding fixtures.</w:t>
      </w:r>
    </w:p>
    <w:p>
      <w:pPr>
        <w:pStyle w:val="ListBullet"/>
      </w:pPr>
      <w:r>
        <w:t>Persist only server-calculated accepted snapshots on the order.</w:t>
      </w:r>
    </w:p>
    <w:p>
      <w:pPr>
        <w:pStyle w:val="ListBullet"/>
      </w:pPr>
      <w:r>
        <w:t>Accounting approval for exact tax promotion and rounding precedence remains TBD before API implementation.</w:t>
      </w:r>
    </w:p>
    <w:p>
      <w:pPr>
        <w:pStyle w:val="Heading1"/>
      </w:pPr>
      <w:r>
        <w:t>Orders tokens and kitchen operations</w:t>
      </w:r>
    </w:p>
    <w:p>
      <w:pPr>
        <w:spacing w:before="100" w:after="160"/>
        <w:jc w:val="center"/>
      </w:pPr>
      <w:r>
        <w:drawing>
          <wp:inline xmlns:a="http://schemas.openxmlformats.org/drawingml/2006/main" xmlns:pic="http://schemas.openxmlformats.org/drawingml/2006/picture">
            <wp:extent cx="5989320" cy="3393948"/>
            <wp:docPr id="4" name="Picture 4" descr="Diagram of the authoritative Mealy pickup order flow and status lifecycle"/>
            <wp:cNvGraphicFramePr>
              <a:graphicFrameLocks noChangeAspect="1"/>
            </wp:cNvGraphicFramePr>
            <a:graphic>
              <a:graphicData uri="http://schemas.openxmlformats.org/drawingml/2006/picture">
                <pic:pic>
                  <pic:nvPicPr>
                    <pic:cNvPr id="0" name="order-flow.png"/>
                    <pic:cNvPicPr/>
                  </pic:nvPicPr>
                  <pic:blipFill>
                    <a:blip r:embed="rId16"/>
                    <a:stretch>
                      <a:fillRect/>
                    </a:stretch>
                  </pic:blipFill>
                  <pic:spPr>
                    <a:xfrm>
                      <a:off x="0" y="0"/>
                      <a:ext cx="5989320" cy="3393948"/>
                    </a:xfrm>
                    <a:prstGeom prst="rect"/>
                  </pic:spPr>
                </pic:pic>
              </a:graphicData>
            </a:graphic>
          </wp:inline>
        </w:drawing>
      </w:r>
    </w:p>
    <w:p>
      <w:r>
        <w:t>Student orders, POS-created counter orders, kiosk orders, administrative orders, and API orders use the same authoritative orders table. Each order receives an outlet-scoped daily order number. Pickup tokens are allocated atomically by service counter and business date, while KOTs route immutable item and modifier snapshots to kitchen stations.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1944"/>
            <w:shd w:fill="4A4A4A"/>
            <w:tcMar>
              <w:top w:w="120" w:type="dxa"/>
              <w:start w:w="130" w:type="dxa"/>
              <w:bottom w:w="120" w:type="dxa"/>
              <w:end w:w="130" w:type="dxa"/>
            </w:tcMar>
            <w:vAlign w:val="center"/>
          </w:tcPr>
          <w:p>
            <w:pPr>
              <w:jc w:val="center"/>
            </w:pPr>
            <w:r>
              <w:rPr>
                <w:rFonts w:ascii="Arial" w:hAnsi="Arial"/>
                <w:b/>
                <w:color w:val="FFFFFF"/>
                <w:sz w:val="18"/>
              </w:rPr>
              <w:t>Concern</w:t>
            </w:r>
          </w:p>
        </w:tc>
        <w:tc>
          <w:tcPr>
            <w:tcW w:type="dxa" w:w="7488"/>
            <w:shd w:fill="4A4A4A"/>
            <w:tcMar>
              <w:top w:w="120" w:type="dxa"/>
              <w:start w:w="130" w:type="dxa"/>
              <w:bottom w:w="120" w:type="dxa"/>
              <w:end w:w="130" w:type="dxa"/>
            </w:tcMar>
            <w:vAlign w:val="center"/>
          </w:tcPr>
          <w:p>
            <w:pPr>
              <w:jc w:val="center"/>
            </w:pPr>
            <w:r>
              <w:rPr>
                <w:rFonts w:ascii="Arial" w:hAnsi="Arial"/>
                <w:b/>
                <w:color w:val="FFFFFF"/>
                <w:sz w:val="18"/>
              </w:rPr>
              <w:t>Database behavior</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Order identity</w:t>
            </w:r>
          </w:p>
        </w:tc>
        <w:tc>
          <w:tcPr>
            <w:tcW w:type="dxa" w:w="7488"/>
            <w:tcMar>
              <w:top w:w="105" w:type="dxa"/>
              <w:start w:w="130" w:type="dxa"/>
              <w:bottom w:w="105" w:type="dxa"/>
              <w:end w:w="130" w:type="dxa"/>
            </w:tcMar>
            <w:vAlign w:val="center"/>
          </w:tcPr>
          <w:p>
            <w:pPr>
              <w:jc w:val="left"/>
            </w:pPr>
            <w:r>
              <w:rPr>
                <w:rFonts w:ascii="Arial" w:hAnsi="Arial"/>
                <w:color w:val="171717"/>
                <w:sz w:val="18"/>
              </w:rPr>
              <w:t>UUID plus atomic daily outlet order number and optimistic version</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Financial snapshot</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Subtotal discount tax charge total currency item variant modifier and pricing snapshots</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Fulfillment</w:t>
            </w:r>
          </w:p>
        </w:tc>
        <w:tc>
          <w:tcPr>
            <w:tcW w:type="dxa" w:w="7488"/>
            <w:tcMar>
              <w:top w:w="105" w:type="dxa"/>
              <w:start w:w="130" w:type="dxa"/>
              <w:bottom w:w="105" w:type="dxa"/>
              <w:end w:w="130" w:type="dxa"/>
            </w:tcMar>
            <w:vAlign w:val="center"/>
          </w:tcPr>
          <w:p>
            <w:pPr>
              <w:jc w:val="left"/>
            </w:pPr>
            <w:r>
              <w:rPr>
                <w:rFonts w:ascii="Arial" w:hAnsi="Arial"/>
                <w:color w:val="171717"/>
                <w:sz w:val="18"/>
              </w:rPr>
              <w:t>Pickup by default with modeled dine-in and delivery options disabled unless enabled</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Token</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Counter and service-date scoped sequence with prefix and idempotent allocation</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KOT</w:t>
            </w:r>
          </w:p>
        </w:tc>
        <w:tc>
          <w:tcPr>
            <w:tcW w:type="dxa" w:w="7488"/>
            <w:tcMar>
              <w:top w:w="105" w:type="dxa"/>
              <w:start w:w="130" w:type="dxa"/>
              <w:bottom w:w="105" w:type="dxa"/>
              <w:end w:w="130" w:type="dxa"/>
            </w:tcMar>
            <w:vAlign w:val="center"/>
          </w:tcPr>
          <w:p>
            <w:pPr>
              <w:jc w:val="left"/>
            </w:pPr>
            <w:r>
              <w:rPr>
                <w:rFonts w:ascii="Arial" w:hAnsi="Arial"/>
                <w:color w:val="171717"/>
                <w:sz w:val="18"/>
              </w:rPr>
              <w:t>Multiple tickets revisions kitchen station routing item modifiers and status events</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Status</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Data-driven transitions actor restrictions reason requirements full history and outbox publication</w:t>
            </w:r>
          </w:p>
        </w:tc>
      </w:tr>
    </w:tbl>
    <w:p>
      <w:pPr>
        <w:spacing w:after="20"/>
      </w:pPr>
    </w:p>
    <w:p>
      <w:r>
        <w:rPr>
          <w:rFonts w:ascii="Arial" w:hAnsi="Arial"/>
          <w:b/>
        </w:rPr>
        <w:t xml:space="preserve">Implemented pickup baseline. </w:t>
      </w:r>
      <w:r>
        <w:t>placed to confirmed to preparing to ready for pickup to collected, with controlled rejection and cancellation paths. Final UI and business approval remains TBD.</w:t>
      </w:r>
    </w:p>
    <w:p>
      <w:pPr>
        <w:pStyle w:val="Heading1"/>
      </w:pPr>
      <w:r>
        <w:t>Payments promotions wallet and platform finance</w:t>
      </w:r>
    </w:p>
    <w:p>
      <w:r>
        <w:t>Payment configuration stores only secret-manager references and safe public configuration. Provider intent identifiers and transaction identifiers are unique when present, while idempotency keys protect retryable order-scoped actions. Refunds, wallet ledger entries, commission calculations, collections, payouts, and subscriptions are separate records so reconciliation does not depend on mutable order fields alone.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2088"/>
            <w:shd w:fill="4A4A4A"/>
            <w:tcMar>
              <w:top w:w="120" w:type="dxa"/>
              <w:start w:w="130" w:type="dxa"/>
              <w:bottom w:w="120" w:type="dxa"/>
              <w:end w:w="130" w:type="dxa"/>
            </w:tcMar>
            <w:vAlign w:val="center"/>
          </w:tcPr>
          <w:p>
            <w:pPr>
              <w:jc w:val="center"/>
            </w:pPr>
            <w:r>
              <w:rPr>
                <w:rFonts w:ascii="Arial" w:hAnsi="Arial"/>
                <w:b/>
                <w:color w:val="FFFFFF"/>
                <w:sz w:val="18"/>
              </w:rPr>
              <w:t>Area</w:t>
            </w:r>
          </w:p>
        </w:tc>
        <w:tc>
          <w:tcPr>
            <w:tcW w:type="dxa" w:w="7344"/>
            <w:shd w:fill="4A4A4A"/>
            <w:tcMar>
              <w:top w:w="120" w:type="dxa"/>
              <w:start w:w="130" w:type="dxa"/>
              <w:bottom w:w="120" w:type="dxa"/>
              <w:end w:w="130" w:type="dxa"/>
            </w:tcMar>
            <w:vAlign w:val="center"/>
          </w:tcPr>
          <w:p>
            <w:pPr>
              <w:jc w:val="center"/>
            </w:pPr>
            <w:r>
              <w:rPr>
                <w:rFonts w:ascii="Arial" w:hAnsi="Arial"/>
                <w:b/>
                <w:color w:val="FFFFFF"/>
                <w:sz w:val="18"/>
              </w:rPr>
              <w:t>Coverage</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Payment methods</w:t>
            </w:r>
          </w:p>
        </w:tc>
        <w:tc>
          <w:tcPr>
            <w:tcW w:type="dxa" w:w="7344"/>
            <w:tcMar>
              <w:top w:w="105" w:type="dxa"/>
              <w:start w:w="130" w:type="dxa"/>
              <w:bottom w:w="105" w:type="dxa"/>
              <w:end w:w="130" w:type="dxa"/>
            </w:tcMar>
            <w:vAlign w:val="center"/>
          </w:tcPr>
          <w:p>
            <w:pPr>
              <w:jc w:val="left"/>
            </w:pPr>
            <w:r>
              <w:rPr>
                <w:rFonts w:ascii="Arial" w:hAnsi="Arial"/>
                <w:color w:val="171717"/>
                <w:sz w:val="18"/>
              </w:rPr>
              <w:t>Cash UPI card Razorpay wallet bank transfer and other, scoped to canteen or outlet and channel</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Intents</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Order amount currency method provider lifecycle expiration failure details and idempotency</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Transactions</w:t>
            </w:r>
          </w:p>
        </w:tc>
        <w:tc>
          <w:tcPr>
            <w:tcW w:type="dxa" w:w="7344"/>
            <w:tcMar>
              <w:top w:w="105" w:type="dxa"/>
              <w:start w:w="130" w:type="dxa"/>
              <w:bottom w:w="105" w:type="dxa"/>
              <w:end w:w="130" w:type="dxa"/>
            </w:tcMar>
            <w:vAlign w:val="center"/>
          </w:tcPr>
          <w:p>
            <w:pPr>
              <w:jc w:val="left"/>
            </w:pPr>
            <w:r>
              <w:rPr>
                <w:rFonts w:ascii="Arial" w:hAnsi="Arial"/>
                <w:color w:val="171717"/>
                <w:sz w:val="18"/>
              </w:rPr>
              <w:t>Authorization capture sale void refund chargeback and adjustment events</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Refunds</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Order and optional transaction target reason provider reference status and request attribution</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Promotions</w:t>
            </w:r>
          </w:p>
        </w:tc>
        <w:tc>
          <w:tcPr>
            <w:tcW w:type="dxa" w:w="7344"/>
            <w:tcMar>
              <w:top w:w="105" w:type="dxa"/>
              <w:start w:w="130" w:type="dxa"/>
              <w:bottom w:w="105" w:type="dxa"/>
              <w:end w:w="130" w:type="dxa"/>
            </w:tcMar>
            <w:vAlign w:val="center"/>
          </w:tcPr>
          <w:p>
            <w:pPr>
              <w:jc w:val="left"/>
            </w:pPr>
            <w:r>
              <w:rPr>
                <w:rFonts w:ascii="Arial" w:hAnsi="Arial"/>
                <w:color w:val="171717"/>
                <w:sz w:val="18"/>
              </w:rPr>
              <w:t>Percentage fixed item fixed buy X get Y and free item definitions with codes and limits</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Wallet</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One balance per student and currency with versioning and immutable idempotent movements</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Platform finance</w:t>
            </w:r>
          </w:p>
        </w:tc>
        <w:tc>
          <w:tcPr>
            <w:tcW w:type="dxa" w:w="7344"/>
            <w:tcMar>
              <w:top w:w="105" w:type="dxa"/>
              <w:start w:w="130" w:type="dxa"/>
              <w:bottom w:w="105" w:type="dxa"/>
              <w:end w:w="130" w:type="dxa"/>
            </w:tcMar>
            <w:vAlign w:val="center"/>
          </w:tcPr>
          <w:p>
            <w:pPr>
              <w:jc w:val="left"/>
            </w:pPr>
            <w:r>
              <w:rPr>
                <w:rFonts w:ascii="Arial" w:hAnsi="Arial"/>
                <w:color w:val="171717"/>
                <w:sz w:val="18"/>
              </w:rPr>
              <w:t>Commission rules collections net payable payouts and payout allocation</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Subscriptions</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Plans canteen subscriptions billing lifecycle and included feature metadata</w:t>
            </w:r>
          </w:p>
        </w:tc>
      </w:tr>
    </w:tbl>
    <w:p>
      <w:pPr>
        <w:spacing w:after="20"/>
      </w:pPr>
    </w:p>
    <w:p>
      <w:r>
        <w:t>Wallet coupons commissions subscriptions and online payments are modeled but default disabled. Launch methods provider selection settlement timing and KOT timing remain product decisions.</w:t>
      </w:r>
    </w:p>
    <w:p>
      <w:pPr>
        <w:pStyle w:val="Heading1"/>
      </w:pPr>
      <w:r>
        <w:t>POS administration reliability and security</w:t>
      </w:r>
    </w:p>
    <w:p>
      <w:pPr>
        <w:pStyle w:val="Heading2"/>
      </w:pPr>
      <w:r>
        <w:t>POS and canteen operations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2088"/>
            <w:shd w:fill="4A4A4A"/>
            <w:tcMar>
              <w:top w:w="120" w:type="dxa"/>
              <w:start w:w="130" w:type="dxa"/>
              <w:bottom w:w="120" w:type="dxa"/>
              <w:end w:w="130" w:type="dxa"/>
            </w:tcMar>
            <w:vAlign w:val="center"/>
          </w:tcPr>
          <w:p>
            <w:pPr>
              <w:jc w:val="center"/>
            </w:pPr>
            <w:r>
              <w:rPr>
                <w:rFonts w:ascii="Arial" w:hAnsi="Arial"/>
                <w:b/>
                <w:color w:val="FFFFFF"/>
                <w:sz w:val="18"/>
              </w:rPr>
              <w:t>Area</w:t>
            </w:r>
          </w:p>
        </w:tc>
        <w:tc>
          <w:tcPr>
            <w:tcW w:type="dxa" w:w="7344"/>
            <w:shd w:fill="4A4A4A"/>
            <w:tcMar>
              <w:top w:w="120" w:type="dxa"/>
              <w:start w:w="130" w:type="dxa"/>
              <w:bottom w:w="120" w:type="dxa"/>
              <w:end w:w="130" w:type="dxa"/>
            </w:tcMar>
            <w:vAlign w:val="center"/>
          </w:tcPr>
          <w:p>
            <w:pPr>
              <w:jc w:val="center"/>
            </w:pPr>
            <w:r>
              <w:rPr>
                <w:rFonts w:ascii="Arial" w:hAnsi="Arial"/>
                <w:b/>
                <w:color w:val="FFFFFF"/>
                <w:sz w:val="18"/>
              </w:rPr>
              <w:t>Model coverage</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Printing</w:t>
            </w:r>
          </w:p>
        </w:tc>
        <w:tc>
          <w:tcPr>
            <w:tcW w:type="dxa" w:w="7344"/>
            <w:tcMar>
              <w:top w:w="105" w:type="dxa"/>
              <w:start w:w="130" w:type="dxa"/>
              <w:bottom w:w="105" w:type="dxa"/>
              <w:end w:w="130" w:type="dxa"/>
            </w:tcMar>
            <w:vAlign w:val="center"/>
          </w:tcPr>
          <w:p>
            <w:pPr>
              <w:jc w:val="left"/>
            </w:pPr>
            <w:r>
              <w:rPr>
                <w:rFonts w:ascii="Arial" w:hAnsi="Arial"/>
                <w:color w:val="171717"/>
                <w:sz w:val="18"/>
              </w:rPr>
              <w:t>Printers routes retryable jobs error details attempts and reprint-safe document linkage</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Cash</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Registers one active shift opening and closing balances movements and reconciliation</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Receipts</w:t>
            </w:r>
          </w:p>
        </w:tc>
        <w:tc>
          <w:tcPr>
            <w:tcW w:type="dxa" w:w="7344"/>
            <w:tcMar>
              <w:top w:w="105" w:type="dxa"/>
              <w:start w:w="130" w:type="dxa"/>
              <w:bottom w:w="105" w:type="dxa"/>
              <w:end w:w="130" w:type="dxa"/>
            </w:tcMar>
            <w:vAlign w:val="center"/>
          </w:tcPr>
          <w:p>
            <w:pPr>
              <w:jc w:val="left"/>
            </w:pPr>
            <w:r>
              <w:rPr>
                <w:rFonts w:ascii="Arial" w:hAnsi="Arial"/>
                <w:color w:val="171717"/>
                <w:sz w:val="18"/>
              </w:rPr>
              <w:t>Outlet sequences receipt numbers issue status and order association</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Optional service</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Dining areas tables reservations student addresses and delivery assignments</w:t>
            </w:r>
          </w:p>
        </w:tc>
      </w:tr>
      <w:tr>
        <w:trPr>
          <w:cantSplit w:val="true"/>
        </w:trPr>
        <w:tc>
          <w:tcPr>
            <w:tcW w:type="dxa" w:w="2088"/>
            <w:tcMar>
              <w:top w:w="105" w:type="dxa"/>
              <w:start w:w="130" w:type="dxa"/>
              <w:bottom w:w="105" w:type="dxa"/>
              <w:end w:w="130" w:type="dxa"/>
            </w:tcMar>
            <w:vAlign w:val="center"/>
          </w:tcPr>
          <w:p>
            <w:pPr>
              <w:jc w:val="left"/>
            </w:pPr>
            <w:r>
              <w:rPr>
                <w:rFonts w:ascii="Arial" w:hAnsi="Arial"/>
                <w:color w:val="171717"/>
                <w:sz w:val="18"/>
              </w:rPr>
              <w:t>Engagement</w:t>
            </w:r>
          </w:p>
        </w:tc>
        <w:tc>
          <w:tcPr>
            <w:tcW w:type="dxa" w:w="7344"/>
            <w:tcMar>
              <w:top w:w="105" w:type="dxa"/>
              <w:start w:w="130" w:type="dxa"/>
              <w:bottom w:w="105" w:type="dxa"/>
              <w:end w:w="130" w:type="dxa"/>
            </w:tcMar>
            <w:vAlign w:val="center"/>
          </w:tcPr>
          <w:p>
            <w:pPr>
              <w:jc w:val="left"/>
            </w:pPr>
            <w:r>
              <w:rPr>
                <w:rFonts w:ascii="Arial" w:hAnsi="Arial"/>
                <w:color w:val="171717"/>
                <w:sz w:val="18"/>
              </w:rPr>
              <w:t>Feedback item ratings push devices notification preferences and delivery state</w:t>
            </w:r>
          </w:p>
        </w:tc>
      </w:tr>
      <w:tr>
        <w:trPr>
          <w:cantSplit w:val="true"/>
        </w:trPr>
        <w:tc>
          <w:tcPr>
            <w:tcW w:type="dxa" w:w="2088"/>
            <w:shd w:fill="F6F6F4"/>
            <w:tcMar>
              <w:top w:w="105" w:type="dxa"/>
              <w:start w:w="130" w:type="dxa"/>
              <w:bottom w:w="105" w:type="dxa"/>
              <w:end w:w="130" w:type="dxa"/>
            </w:tcMar>
            <w:vAlign w:val="center"/>
          </w:tcPr>
          <w:p>
            <w:pPr>
              <w:jc w:val="left"/>
            </w:pPr>
            <w:r>
              <w:rPr>
                <w:rFonts w:ascii="Arial" w:hAnsi="Arial"/>
                <w:color w:val="171717"/>
                <w:sz w:val="18"/>
              </w:rPr>
              <w:t>Onboarding</w:t>
            </w:r>
          </w:p>
        </w:tc>
        <w:tc>
          <w:tcPr>
            <w:tcW w:type="dxa" w:w="7344"/>
            <w:shd w:fill="F6F6F4"/>
            <w:tcMar>
              <w:top w:w="105" w:type="dxa"/>
              <w:start w:w="130" w:type="dxa"/>
              <w:bottom w:w="105" w:type="dxa"/>
              <w:end w:w="130" w:type="dxa"/>
            </w:tcMar>
            <w:vAlign w:val="center"/>
          </w:tcPr>
          <w:p>
            <w:pPr>
              <w:jc w:val="left"/>
            </w:pPr>
            <w:r>
              <w:rPr>
                <w:rFonts w:ascii="Arial" w:hAnsi="Arial"/>
                <w:color w:val="171717"/>
                <w:sz w:val="18"/>
              </w:rPr>
              <w:t>Canteen setup checklist ownership completion and operational readiness steps</w:t>
            </w:r>
          </w:p>
        </w:tc>
      </w:tr>
    </w:tbl>
    <w:p>
      <w:pPr>
        <w:spacing w:after="20"/>
      </w:pPr>
    </w:p>
    <w:p>
      <w:pPr>
        <w:pStyle w:val="Heading2"/>
      </w:pPr>
      <w:r>
        <w:t>Reliability and traceability</w:t>
      </w:r>
    </w:p>
    <w:p>
      <w:pPr>
        <w:pStyle w:val="ListBullet"/>
      </w:pPr>
      <w:r>
        <w:t>API idempotency records protect retryable creates and side effects.</w:t>
      </w:r>
    </w:p>
    <w:p>
      <w:pPr>
        <w:pStyle w:val="ListBullet"/>
      </w:pPr>
      <w:r>
        <w:t>Webhook events store provider delivery identity processing status attempts and redacted payloads.</w:t>
      </w:r>
    </w:p>
    <w:p>
      <w:pPr>
        <w:pStyle w:val="ListBullet"/>
      </w:pPr>
      <w:r>
        <w:t>Transactional outbox events are committed with domain changes and published later with retries.</w:t>
      </w:r>
    </w:p>
    <w:p>
      <w:pPr>
        <w:pStyle w:val="ListBullet"/>
      </w:pPr>
      <w:r>
        <w:t>Audit logs retain actor scope request metadata action target and structured before/after context.</w:t>
      </w:r>
    </w:p>
    <w:p>
      <w:pPr>
        <w:pStyle w:val="ListBullet"/>
      </w:pPr>
      <w:r>
        <w:t>Data-subject requests model privacy access correction export and deletion workflows.</w:t>
      </w:r>
    </w:p>
    <w:p>
      <w:pPr>
        <w:pStyle w:val="ListBullet"/>
      </w:pPr>
      <w:r>
        <w:t>Login challenges separate expiring verification state from long-lived sessions.</w:t>
      </w:r>
    </w:p>
    <w:p>
      <w:pPr>
        <w:pStyle w:val="Heading2"/>
      </w:pPr>
      <w:r>
        <w:t>Security boundary</w:t>
      </w:r>
    </w:p>
    <w:p>
      <w:r>
        <w:t>Browsers and POS clients must never receive direct authority to calculate totals change payment state or mutate arbitrary tenant rows. The backend must derive scope from the authenticated principal, recalculate prices, verify payment signatures and webhooks, invoke database functions through least-privilege roles, and publish updates only after the transaction commits.</w:t>
      </w:r>
    </w:p>
    <w:p>
      <w:pPr>
        <w:pStyle w:val="Heading1"/>
      </w:pPr>
      <w:r>
        <w:t>Data standards and enforced invariants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1944"/>
            <w:shd w:fill="4A4A4A"/>
            <w:tcMar>
              <w:top w:w="120" w:type="dxa"/>
              <w:start w:w="130" w:type="dxa"/>
              <w:bottom w:w="120" w:type="dxa"/>
              <w:end w:w="130" w:type="dxa"/>
            </w:tcMar>
            <w:vAlign w:val="center"/>
          </w:tcPr>
          <w:p>
            <w:pPr>
              <w:jc w:val="center"/>
            </w:pPr>
            <w:r>
              <w:rPr>
                <w:rFonts w:ascii="Arial" w:hAnsi="Arial"/>
                <w:b/>
                <w:color w:val="FFFFFF"/>
                <w:sz w:val="18"/>
              </w:rPr>
              <w:t>Standard</w:t>
            </w:r>
          </w:p>
        </w:tc>
        <w:tc>
          <w:tcPr>
            <w:tcW w:type="dxa" w:w="7488"/>
            <w:shd w:fill="4A4A4A"/>
            <w:tcMar>
              <w:top w:w="120" w:type="dxa"/>
              <w:start w:w="130" w:type="dxa"/>
              <w:bottom w:w="120" w:type="dxa"/>
              <w:end w:w="130" w:type="dxa"/>
            </w:tcMar>
            <w:vAlign w:val="center"/>
          </w:tcPr>
          <w:p>
            <w:pPr>
              <w:jc w:val="center"/>
            </w:pPr>
            <w:r>
              <w:rPr>
                <w:rFonts w:ascii="Arial" w:hAnsi="Arial"/>
                <w:b/>
                <w:color w:val="FFFFFF"/>
                <w:sz w:val="18"/>
              </w:rPr>
              <w:t>Implementation</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Identifiers</w:t>
            </w:r>
          </w:p>
        </w:tc>
        <w:tc>
          <w:tcPr>
            <w:tcW w:type="dxa" w:w="7488"/>
            <w:tcMar>
              <w:top w:w="105" w:type="dxa"/>
              <w:start w:w="130" w:type="dxa"/>
              <w:bottom w:w="105" w:type="dxa"/>
              <w:end w:w="130" w:type="dxa"/>
            </w:tcMar>
            <w:vAlign w:val="center"/>
          </w:tcPr>
          <w:p>
            <w:pPr>
              <w:jc w:val="left"/>
            </w:pPr>
            <w:r>
              <w:rPr>
                <w:rFonts w:ascii="Arial" w:hAnsi="Arial"/>
                <w:color w:val="171717"/>
                <w:sz w:val="18"/>
              </w:rPr>
              <w:t>UUID primary keys for distributed-safe entity identity; bigserial only for append-only event ordering where appropriate</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Money</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Integer minor units plus ISO three-character currency code; no floating-point money</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Inventory</w:t>
            </w:r>
          </w:p>
        </w:tc>
        <w:tc>
          <w:tcPr>
            <w:tcW w:type="dxa" w:w="7488"/>
            <w:tcMar>
              <w:top w:w="105" w:type="dxa"/>
              <w:start w:w="130" w:type="dxa"/>
              <w:bottom w:w="105" w:type="dxa"/>
              <w:end w:w="130" w:type="dxa"/>
            </w:tcMar>
            <w:vAlign w:val="center"/>
          </w:tcPr>
          <w:p>
            <w:pPr>
              <w:jc w:val="left"/>
            </w:pPr>
            <w:r>
              <w:rPr>
                <w:rFonts w:ascii="Arial" w:hAnsi="Arial"/>
                <w:color w:val="171717"/>
                <w:sz w:val="18"/>
              </w:rPr>
              <w:t>numeric 18 by 6 for precise ingredient quantities</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Time</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Timezone-aware timestamps and explicit business date for order token register and receipt sequences</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History</w:t>
            </w:r>
          </w:p>
        </w:tc>
        <w:tc>
          <w:tcPr>
            <w:tcW w:type="dxa" w:w="7488"/>
            <w:tcMar>
              <w:top w:w="105" w:type="dxa"/>
              <w:start w:w="130" w:type="dxa"/>
              <w:bottom w:w="105" w:type="dxa"/>
              <w:end w:w="130" w:type="dxa"/>
            </w:tcMar>
            <w:vAlign w:val="center"/>
          </w:tcPr>
          <w:p>
            <w:pPr>
              <w:jc w:val="left"/>
            </w:pPr>
            <w:r>
              <w:rPr>
                <w:rFonts w:ascii="Arial" w:hAnsi="Arial"/>
                <w:color w:val="171717"/>
                <w:sz w:val="18"/>
              </w:rPr>
              <w:t>Immutable order KOT tax charge discount payment inventory wallet and audit records</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Concurrency</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Atomic sequence functions idempotency keys unique provider IDs optimistic versions and row locks where required</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Tenancy</w:t>
            </w:r>
          </w:p>
        </w:tc>
        <w:tc>
          <w:tcPr>
            <w:tcW w:type="dxa" w:w="7488"/>
            <w:tcMar>
              <w:top w:w="105" w:type="dxa"/>
              <w:start w:w="130" w:type="dxa"/>
              <w:bottom w:w="105" w:type="dxa"/>
              <w:end w:w="130" w:type="dxa"/>
            </w:tcMar>
            <w:vAlign w:val="center"/>
          </w:tcPr>
          <w:p>
            <w:pPr>
              <w:jc w:val="left"/>
            </w:pPr>
            <w:r>
              <w:rPr>
                <w:rFonts w:ascii="Arial" w:hAnsi="Arial"/>
                <w:color w:val="171717"/>
                <w:sz w:val="18"/>
              </w:rPr>
              <w:t>Foreign keys scope-validation triggers and explicit campus canteen outlet counter relationships</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8"/>
              </w:rPr>
              <w:t>Secrets</w:t>
            </w:r>
          </w:p>
        </w:tc>
        <w:tc>
          <w:tcPr>
            <w:tcW w:type="dxa" w:w="7488"/>
            <w:shd w:fill="F6F6F4"/>
            <w:tcMar>
              <w:top w:w="105" w:type="dxa"/>
              <w:start w:w="130" w:type="dxa"/>
              <w:bottom w:w="105" w:type="dxa"/>
              <w:end w:w="130" w:type="dxa"/>
            </w:tcMar>
            <w:vAlign w:val="center"/>
          </w:tcPr>
          <w:p>
            <w:pPr>
              <w:jc w:val="left"/>
            </w:pPr>
            <w:r>
              <w:rPr>
                <w:rFonts w:ascii="Arial" w:hAnsi="Arial"/>
                <w:color w:val="171717"/>
                <w:sz w:val="18"/>
              </w:rPr>
              <w:t>Only secret references are persisted in payment configuration; payloads are redacted before storage</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8"/>
              </w:rPr>
              <w:t>Lifecycle</w:t>
            </w:r>
          </w:p>
        </w:tc>
        <w:tc>
          <w:tcPr>
            <w:tcW w:type="dxa" w:w="7488"/>
            <w:tcMar>
              <w:top w:w="105" w:type="dxa"/>
              <w:start w:w="130" w:type="dxa"/>
              <w:bottom w:w="105" w:type="dxa"/>
              <w:end w:w="130" w:type="dxa"/>
            </w:tcMar>
            <w:vAlign w:val="center"/>
          </w:tcPr>
          <w:p>
            <w:pPr>
              <w:jc w:val="left"/>
            </w:pPr>
            <w:r>
              <w:rPr>
                <w:rFonts w:ascii="Arial" w:hAnsi="Arial"/>
                <w:color w:val="171717"/>
                <w:sz w:val="18"/>
              </w:rPr>
              <w:t>Check constraints plus data-driven status transitions and actor restrictions</w:t>
            </w:r>
          </w:p>
        </w:tc>
      </w:tr>
    </w:tbl>
    <w:p>
      <w:pPr>
        <w:spacing w:after="20"/>
      </w:pPr>
    </w:p>
    <w:p>
      <w:pPr>
        <w:pStyle w:val="Heading2"/>
      </w:pPr>
      <w:r>
        <w:t>Database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3096"/>
            <w:shd w:fill="4A4A4A"/>
            <w:tcMar>
              <w:top w:w="120" w:type="dxa"/>
              <w:start w:w="130" w:type="dxa"/>
              <w:bottom w:w="120" w:type="dxa"/>
              <w:end w:w="130" w:type="dxa"/>
            </w:tcMar>
            <w:vAlign w:val="center"/>
          </w:tcPr>
          <w:p>
            <w:pPr>
              <w:jc w:val="center"/>
            </w:pPr>
            <w:r>
              <w:rPr>
                <w:rFonts w:ascii="Arial" w:hAnsi="Arial"/>
                <w:b/>
                <w:color w:val="FFFFFF"/>
                <w:sz w:val="18"/>
              </w:rPr>
              <w:t>Function</w:t>
            </w:r>
          </w:p>
        </w:tc>
        <w:tc>
          <w:tcPr>
            <w:tcW w:type="dxa" w:w="6336"/>
            <w:shd w:fill="4A4A4A"/>
            <w:tcMar>
              <w:top w:w="120" w:type="dxa"/>
              <w:start w:w="130" w:type="dxa"/>
              <w:bottom w:w="120" w:type="dxa"/>
              <w:end w:w="130" w:type="dxa"/>
            </w:tcMar>
            <w:vAlign w:val="center"/>
          </w:tcPr>
          <w:p>
            <w:pPr>
              <w:jc w:val="center"/>
            </w:pPr>
            <w:r>
              <w:rPr>
                <w:rFonts w:ascii="Arial" w:hAnsi="Arial"/>
                <w:b/>
                <w:color w:val="FFFFFF"/>
                <w:sz w:val="18"/>
              </w:rPr>
              <w:t>Responsibility</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set_updated_at</w:t>
            </w:r>
          </w:p>
        </w:tc>
        <w:tc>
          <w:tcPr>
            <w:tcW w:type="dxa" w:w="6336"/>
            <w:tcMar>
              <w:top w:w="105" w:type="dxa"/>
              <w:start w:w="130" w:type="dxa"/>
              <w:bottom w:w="105" w:type="dxa"/>
              <w:end w:w="130" w:type="dxa"/>
            </w:tcMar>
            <w:vAlign w:val="center"/>
          </w:tcPr>
          <w:p>
            <w:pPr>
              <w:jc w:val="left"/>
            </w:pPr>
            <w:r>
              <w:rPr>
                <w:rFonts w:ascii="Arial" w:hAnsi="Arial"/>
                <w:color w:val="171717"/>
                <w:sz w:val="17"/>
              </w:rPr>
              <w:t>Maintains updated timestamps automatically.</w:t>
            </w:r>
          </w:p>
        </w:tc>
      </w:tr>
      <w:tr>
        <w:trPr>
          <w:cantSplit w:val="true"/>
        </w:trPr>
        <w:tc>
          <w:tcPr>
            <w:tcW w:type="dxa" w:w="3096"/>
            <w:shd w:fill="F6F6F4"/>
            <w:tcMar>
              <w:top w:w="105" w:type="dxa"/>
              <w:start w:w="130" w:type="dxa"/>
              <w:bottom w:w="105" w:type="dxa"/>
              <w:end w:w="130" w:type="dxa"/>
            </w:tcMar>
            <w:vAlign w:val="center"/>
          </w:tcPr>
          <w:p>
            <w:pPr>
              <w:jc w:val="left"/>
            </w:pPr>
            <w:r>
              <w:rPr>
                <w:rFonts w:ascii="Arial" w:hAnsi="Arial"/>
                <w:color w:val="171717"/>
                <w:sz w:val="17"/>
              </w:rPr>
              <w:t>validate_terminal_counter_scope</w:t>
            </w:r>
          </w:p>
        </w:tc>
        <w:tc>
          <w:tcPr>
            <w:tcW w:type="dxa" w:w="6336"/>
            <w:shd w:fill="F6F6F4"/>
            <w:tcMar>
              <w:top w:w="105" w:type="dxa"/>
              <w:start w:w="130" w:type="dxa"/>
              <w:bottom w:w="105" w:type="dxa"/>
              <w:end w:w="130" w:type="dxa"/>
            </w:tcMar>
            <w:vAlign w:val="center"/>
          </w:tcPr>
          <w:p>
            <w:pPr>
              <w:jc w:val="left"/>
            </w:pPr>
            <w:r>
              <w:rPr>
                <w:rFonts w:ascii="Arial" w:hAnsi="Arial"/>
                <w:color w:val="171717"/>
                <w:sz w:val="17"/>
              </w:rPr>
              <w:t>Prevents terminal and counter scope mismatch.</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validate_order_scope</w:t>
            </w:r>
          </w:p>
        </w:tc>
        <w:tc>
          <w:tcPr>
            <w:tcW w:type="dxa" w:w="6336"/>
            <w:tcMar>
              <w:top w:w="105" w:type="dxa"/>
              <w:start w:w="130" w:type="dxa"/>
              <w:bottom w:w="105" w:type="dxa"/>
              <w:end w:w="130" w:type="dxa"/>
            </w:tcMar>
            <w:vAlign w:val="center"/>
          </w:tcPr>
          <w:p>
            <w:pPr>
              <w:jc w:val="left"/>
            </w:pPr>
            <w:r>
              <w:rPr>
                <w:rFonts w:ascii="Arial" w:hAnsi="Arial"/>
                <w:color w:val="171717"/>
                <w:sz w:val="17"/>
              </w:rPr>
              <w:t>Validates campus canteen outlet counter terminal and actor relationships on orders.</w:t>
            </w:r>
          </w:p>
        </w:tc>
      </w:tr>
      <w:tr>
        <w:trPr>
          <w:cantSplit w:val="true"/>
        </w:trPr>
        <w:tc>
          <w:tcPr>
            <w:tcW w:type="dxa" w:w="3096"/>
            <w:shd w:fill="F6F6F4"/>
            <w:tcMar>
              <w:top w:w="105" w:type="dxa"/>
              <w:start w:w="130" w:type="dxa"/>
              <w:bottom w:w="105" w:type="dxa"/>
              <w:end w:w="130" w:type="dxa"/>
            </w:tcMar>
            <w:vAlign w:val="center"/>
          </w:tcPr>
          <w:p>
            <w:pPr>
              <w:jc w:val="left"/>
            </w:pPr>
            <w:r>
              <w:rPr>
                <w:rFonts w:ascii="Arial" w:hAnsi="Arial"/>
                <w:color w:val="171717"/>
                <w:sz w:val="17"/>
              </w:rPr>
              <w:t>validate_membership_role_scope</w:t>
            </w:r>
          </w:p>
        </w:tc>
        <w:tc>
          <w:tcPr>
            <w:tcW w:type="dxa" w:w="6336"/>
            <w:shd w:fill="F6F6F4"/>
            <w:tcMar>
              <w:top w:w="105" w:type="dxa"/>
              <w:start w:w="130" w:type="dxa"/>
              <w:bottom w:w="105" w:type="dxa"/>
              <w:end w:w="130" w:type="dxa"/>
            </w:tcMar>
            <w:vAlign w:val="center"/>
          </w:tcPr>
          <w:p>
            <w:pPr>
              <w:jc w:val="left"/>
            </w:pPr>
            <w:r>
              <w:rPr>
                <w:rFonts w:ascii="Arial" w:hAnsi="Arial"/>
                <w:color w:val="171717"/>
                <w:sz w:val="17"/>
              </w:rPr>
              <w:t>Prevents assigning a role outside a membership's scope.</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validate_menu_outlet_scope</w:t>
            </w:r>
          </w:p>
        </w:tc>
        <w:tc>
          <w:tcPr>
            <w:tcW w:type="dxa" w:w="6336"/>
            <w:tcMar>
              <w:top w:w="105" w:type="dxa"/>
              <w:start w:w="130" w:type="dxa"/>
              <w:bottom w:w="105" w:type="dxa"/>
              <w:end w:w="130" w:type="dxa"/>
            </w:tcMar>
            <w:vAlign w:val="center"/>
          </w:tcPr>
          <w:p>
            <w:pPr>
              <w:jc w:val="left"/>
            </w:pPr>
            <w:r>
              <w:rPr>
                <w:rFonts w:ascii="Arial" w:hAnsi="Arial"/>
                <w:color w:val="171717"/>
                <w:sz w:val="17"/>
              </w:rPr>
              <w:t>Prevents publishing a canteen menu to an unrelated outlet.</w:t>
            </w:r>
          </w:p>
        </w:tc>
      </w:tr>
      <w:tr>
        <w:trPr>
          <w:cantSplit w:val="true"/>
        </w:trPr>
        <w:tc>
          <w:tcPr>
            <w:tcW w:type="dxa" w:w="3096"/>
            <w:shd w:fill="F6F6F4"/>
            <w:tcMar>
              <w:top w:w="105" w:type="dxa"/>
              <w:start w:w="130" w:type="dxa"/>
              <w:bottom w:w="105" w:type="dxa"/>
              <w:end w:w="130" w:type="dxa"/>
            </w:tcMar>
            <w:vAlign w:val="center"/>
          </w:tcPr>
          <w:p>
            <w:pPr>
              <w:jc w:val="left"/>
            </w:pPr>
            <w:r>
              <w:rPr>
                <w:rFonts w:ascii="Arial" w:hAnsi="Arial"/>
                <w:color w:val="171717"/>
                <w:sz w:val="17"/>
              </w:rPr>
              <w:t>validate_item_modifier_scope</w:t>
            </w:r>
          </w:p>
        </w:tc>
        <w:tc>
          <w:tcPr>
            <w:tcW w:type="dxa" w:w="6336"/>
            <w:shd w:fill="F6F6F4"/>
            <w:tcMar>
              <w:top w:w="105" w:type="dxa"/>
              <w:start w:w="130" w:type="dxa"/>
              <w:bottom w:w="105" w:type="dxa"/>
              <w:end w:w="130" w:type="dxa"/>
            </w:tcMar>
            <w:vAlign w:val="center"/>
          </w:tcPr>
          <w:p>
            <w:pPr>
              <w:jc w:val="left"/>
            </w:pPr>
            <w:r>
              <w:rPr>
                <w:rFonts w:ascii="Arial" w:hAnsi="Arial"/>
                <w:color w:val="171717"/>
                <w:sz w:val="17"/>
              </w:rPr>
              <w:t>Prevents cross-canteen item and modifier assignment.</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validate_promotion_code_scope</w:t>
            </w:r>
          </w:p>
        </w:tc>
        <w:tc>
          <w:tcPr>
            <w:tcW w:type="dxa" w:w="6336"/>
            <w:tcMar>
              <w:top w:w="105" w:type="dxa"/>
              <w:start w:w="130" w:type="dxa"/>
              <w:bottom w:w="105" w:type="dxa"/>
              <w:end w:w="130" w:type="dxa"/>
            </w:tcMar>
            <w:vAlign w:val="center"/>
          </w:tcPr>
          <w:p>
            <w:pPr>
              <w:jc w:val="left"/>
            </w:pPr>
            <w:r>
              <w:rPr>
                <w:rFonts w:ascii="Arial" w:hAnsi="Arial"/>
                <w:color w:val="171717"/>
                <w:sz w:val="17"/>
              </w:rPr>
              <w:t>Prevents cross-canteen promotion and code relationships.</w:t>
            </w:r>
          </w:p>
        </w:tc>
      </w:tr>
      <w:tr>
        <w:trPr>
          <w:cantSplit w:val="true"/>
        </w:trPr>
        <w:tc>
          <w:tcPr>
            <w:tcW w:type="dxa" w:w="3096"/>
            <w:shd w:fill="F6F6F4"/>
            <w:tcMar>
              <w:top w:w="105" w:type="dxa"/>
              <w:start w:w="130" w:type="dxa"/>
              <w:bottom w:w="105" w:type="dxa"/>
              <w:end w:w="130" w:type="dxa"/>
            </w:tcMar>
            <w:vAlign w:val="center"/>
          </w:tcPr>
          <w:p>
            <w:pPr>
              <w:jc w:val="left"/>
            </w:pPr>
            <w:r>
              <w:rPr>
                <w:rFonts w:ascii="Arial" w:hAnsi="Arial"/>
                <w:color w:val="171717"/>
                <w:sz w:val="17"/>
              </w:rPr>
              <w:t>next_order_number</w:t>
            </w:r>
          </w:p>
        </w:tc>
        <w:tc>
          <w:tcPr>
            <w:tcW w:type="dxa" w:w="6336"/>
            <w:shd w:fill="F6F6F4"/>
            <w:tcMar>
              <w:top w:w="105" w:type="dxa"/>
              <w:start w:w="130" w:type="dxa"/>
              <w:bottom w:w="105" w:type="dxa"/>
              <w:end w:w="130" w:type="dxa"/>
            </w:tcMar>
            <w:vAlign w:val="center"/>
          </w:tcPr>
          <w:p>
            <w:pPr>
              <w:jc w:val="left"/>
            </w:pPr>
            <w:r>
              <w:rPr>
                <w:rFonts w:ascii="Arial" w:hAnsi="Arial"/>
                <w:color w:val="171717"/>
                <w:sz w:val="17"/>
              </w:rPr>
              <w:t>Allocates a concurrency-safe daily outlet order number.</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allocate_order_token</w:t>
            </w:r>
          </w:p>
        </w:tc>
        <w:tc>
          <w:tcPr>
            <w:tcW w:type="dxa" w:w="6336"/>
            <w:tcMar>
              <w:top w:w="105" w:type="dxa"/>
              <w:start w:w="130" w:type="dxa"/>
              <w:bottom w:w="105" w:type="dxa"/>
              <w:end w:w="130" w:type="dxa"/>
            </w:tcMar>
            <w:vAlign w:val="center"/>
          </w:tcPr>
          <w:p>
            <w:pPr>
              <w:jc w:val="left"/>
            </w:pPr>
            <w:r>
              <w:rPr>
                <w:rFonts w:ascii="Arial" w:hAnsi="Arial"/>
                <w:color w:val="171717"/>
                <w:sz w:val="17"/>
              </w:rPr>
              <w:t>Allocates an idempotent counter and date scoped token.</w:t>
            </w:r>
          </w:p>
        </w:tc>
      </w:tr>
      <w:tr>
        <w:trPr>
          <w:cantSplit w:val="true"/>
        </w:trPr>
        <w:tc>
          <w:tcPr>
            <w:tcW w:type="dxa" w:w="3096"/>
            <w:shd w:fill="F6F6F4"/>
            <w:tcMar>
              <w:top w:w="105" w:type="dxa"/>
              <w:start w:w="130" w:type="dxa"/>
              <w:bottom w:w="105" w:type="dxa"/>
              <w:end w:w="130" w:type="dxa"/>
            </w:tcMar>
            <w:vAlign w:val="center"/>
          </w:tcPr>
          <w:p>
            <w:pPr>
              <w:jc w:val="left"/>
            </w:pPr>
            <w:r>
              <w:rPr>
                <w:rFonts w:ascii="Arial" w:hAnsi="Arial"/>
                <w:color w:val="171717"/>
                <w:sz w:val="17"/>
              </w:rPr>
              <w:t>transition_order</w:t>
            </w:r>
          </w:p>
        </w:tc>
        <w:tc>
          <w:tcPr>
            <w:tcW w:type="dxa" w:w="6336"/>
            <w:shd w:fill="F6F6F4"/>
            <w:tcMar>
              <w:top w:w="105" w:type="dxa"/>
              <w:start w:w="130" w:type="dxa"/>
              <w:bottom w:w="105" w:type="dxa"/>
              <w:end w:w="130" w:type="dxa"/>
            </w:tcMar>
            <w:vAlign w:val="center"/>
          </w:tcPr>
          <w:p>
            <w:pPr>
              <w:jc w:val="left"/>
            </w:pPr>
            <w:r>
              <w:rPr>
                <w:rFonts w:ascii="Arial" w:hAnsi="Arial"/>
                <w:color w:val="171717"/>
                <w:sz w:val="17"/>
              </w:rPr>
              <w:t>Applies authorized version-aware order status transitions and history.</w:t>
            </w:r>
          </w:p>
        </w:tc>
      </w:tr>
      <w:tr>
        <w:trPr>
          <w:cantSplit w:val="true"/>
        </w:trPr>
        <w:tc>
          <w:tcPr>
            <w:tcW w:type="dxa" w:w="3096"/>
            <w:tcMar>
              <w:top w:w="105" w:type="dxa"/>
              <w:start w:w="130" w:type="dxa"/>
              <w:bottom w:w="105" w:type="dxa"/>
              <w:end w:w="130" w:type="dxa"/>
            </w:tcMar>
            <w:vAlign w:val="center"/>
          </w:tcPr>
          <w:p>
            <w:pPr>
              <w:jc w:val="left"/>
            </w:pPr>
            <w:r>
              <w:rPr>
                <w:rFonts w:ascii="Arial" w:hAnsi="Arial"/>
                <w:color w:val="171717"/>
                <w:sz w:val="17"/>
              </w:rPr>
              <w:t>record_new_order</w:t>
            </w:r>
          </w:p>
        </w:tc>
        <w:tc>
          <w:tcPr>
            <w:tcW w:type="dxa" w:w="6336"/>
            <w:tcMar>
              <w:top w:w="105" w:type="dxa"/>
              <w:start w:w="130" w:type="dxa"/>
              <w:bottom w:w="105" w:type="dxa"/>
              <w:end w:w="130" w:type="dxa"/>
            </w:tcMar>
            <w:vAlign w:val="center"/>
          </w:tcPr>
          <w:p>
            <w:pPr>
              <w:jc w:val="left"/>
            </w:pPr>
            <w:r>
              <w:rPr>
                <w:rFonts w:ascii="Arial" w:hAnsi="Arial"/>
                <w:color w:val="171717"/>
                <w:sz w:val="17"/>
              </w:rPr>
              <w:t>Creates the initial status event and transactional outbox record.</w:t>
            </w:r>
          </w:p>
        </w:tc>
      </w:tr>
    </w:tbl>
    <w:p>
      <w:pPr>
        <w:spacing w:after="20"/>
      </w:pPr>
    </w:p>
    <w:p>
      <w:pPr>
        <w:pStyle w:val="Heading1"/>
      </w:pPr>
      <w:r>
        <w:t>Migrations operations and verification</w:t>
      </w:r>
    </w:p>
    <w:p>
      <w:pPr>
        <w:pStyle w:val="Heading2"/>
      </w:pPr>
      <w:r>
        <w:t>Migration layers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cantSplit w:val="true"/>
        </w:trPr>
        <w:tc>
          <w:tcPr>
            <w:tcW w:type="dxa" w:w="936"/>
            <w:shd w:fill="4A4A4A"/>
            <w:tcMar>
              <w:top w:w="120" w:type="dxa"/>
              <w:start w:w="130" w:type="dxa"/>
              <w:bottom w:w="120" w:type="dxa"/>
              <w:end w:w="130" w:type="dxa"/>
            </w:tcMar>
            <w:vAlign w:val="center"/>
          </w:tcPr>
          <w:p>
            <w:pPr>
              <w:jc w:val="center"/>
            </w:pPr>
            <w:r>
              <w:rPr>
                <w:rFonts w:ascii="Arial" w:hAnsi="Arial"/>
                <w:b/>
                <w:color w:val="FFFFFF"/>
                <w:sz w:val="18"/>
              </w:rPr>
              <w:t>Order</w:t>
            </w:r>
          </w:p>
        </w:tc>
        <w:tc>
          <w:tcPr>
            <w:tcW w:type="dxa" w:w="1800"/>
            <w:shd w:fill="4A4A4A"/>
            <w:tcMar>
              <w:top w:w="120" w:type="dxa"/>
              <w:start w:w="130" w:type="dxa"/>
              <w:bottom w:w="120" w:type="dxa"/>
              <w:end w:w="130" w:type="dxa"/>
            </w:tcMar>
            <w:vAlign w:val="center"/>
          </w:tcPr>
          <w:p>
            <w:pPr>
              <w:jc w:val="center"/>
            </w:pPr>
            <w:r>
              <w:rPr>
                <w:rFonts w:ascii="Arial" w:hAnsi="Arial"/>
                <w:b/>
                <w:color w:val="FFFFFF"/>
                <w:sz w:val="18"/>
              </w:rPr>
              <w:t>Layer</w:t>
            </w:r>
          </w:p>
        </w:tc>
        <w:tc>
          <w:tcPr>
            <w:tcW w:type="dxa" w:w="6696"/>
            <w:shd w:fill="4A4A4A"/>
            <w:tcMar>
              <w:top w:w="120" w:type="dxa"/>
              <w:start w:w="130" w:type="dxa"/>
              <w:bottom w:w="120" w:type="dxa"/>
              <w:end w:w="130" w:type="dxa"/>
            </w:tcMar>
            <w:vAlign w:val="center"/>
          </w:tcPr>
          <w:p>
            <w:pPr>
              <w:jc w:val="center"/>
            </w:pPr>
            <w:r>
              <w:rPr>
                <w:rFonts w:ascii="Arial" w:hAnsi="Arial"/>
                <w:b/>
                <w:color w:val="FFFFFF"/>
                <w:sz w:val="18"/>
              </w:rPr>
              <w:t>Contents</w:t>
            </w:r>
          </w:p>
        </w:tc>
      </w:tr>
      <w:tr>
        <w:trPr>
          <w:cantSplit w:val="true"/>
        </w:trPr>
        <w:tc>
          <w:tcPr>
            <w:tcW w:type="dxa" w:w="936"/>
            <w:tcMar>
              <w:top w:w="105" w:type="dxa"/>
              <w:start w:w="130" w:type="dxa"/>
              <w:bottom w:w="105" w:type="dxa"/>
              <w:end w:w="130" w:type="dxa"/>
            </w:tcMar>
            <w:vAlign w:val="center"/>
          </w:tcPr>
          <w:p>
            <w:pPr>
              <w:jc w:val="left"/>
            </w:pPr>
            <w:r>
              <w:rPr>
                <w:rFonts w:ascii="Arial" w:hAnsi="Arial"/>
                <w:color w:val="171717"/>
                <w:sz w:val="17"/>
              </w:rPr>
              <w:t>001</w:t>
            </w:r>
          </w:p>
        </w:tc>
        <w:tc>
          <w:tcPr>
            <w:tcW w:type="dxa" w:w="1800"/>
            <w:tcMar>
              <w:top w:w="105" w:type="dxa"/>
              <w:start w:w="130" w:type="dxa"/>
              <w:bottom w:w="105" w:type="dxa"/>
              <w:end w:w="130" w:type="dxa"/>
            </w:tcMar>
            <w:vAlign w:val="center"/>
          </w:tcPr>
          <w:p>
            <w:pPr>
              <w:jc w:val="left"/>
            </w:pPr>
            <w:r>
              <w:rPr>
                <w:rFonts w:ascii="Arial" w:hAnsi="Arial"/>
                <w:color w:val="171717"/>
                <w:sz w:val="17"/>
              </w:rPr>
              <w:t>Foundation</w:t>
            </w:r>
          </w:p>
        </w:tc>
        <w:tc>
          <w:tcPr>
            <w:tcW w:type="dxa" w:w="6696"/>
            <w:tcMar>
              <w:top w:w="105" w:type="dxa"/>
              <w:start w:w="130" w:type="dxa"/>
              <w:bottom w:w="105" w:type="dxa"/>
              <w:end w:w="130" w:type="dxa"/>
            </w:tcMar>
            <w:vAlign w:val="center"/>
          </w:tcPr>
          <w:p>
            <w:pPr>
              <w:jc w:val="left"/>
            </w:pPr>
            <w:r>
              <w:rPr>
                <w:rFonts w:ascii="Arial" w:hAnsi="Arial"/>
                <w:color w:val="171717"/>
                <w:sz w:val="17"/>
              </w:rPr>
              <w:t>Identity tenancy RBAC settings hours closures and feature control</w:t>
            </w:r>
          </w:p>
        </w:tc>
      </w:tr>
      <w:tr>
        <w:trPr>
          <w:cantSplit w:val="true"/>
        </w:trPr>
        <w:tc>
          <w:tcPr>
            <w:tcW w:type="dxa" w:w="936"/>
            <w:shd w:fill="F6F6F4"/>
            <w:tcMar>
              <w:top w:w="105" w:type="dxa"/>
              <w:start w:w="130" w:type="dxa"/>
              <w:bottom w:w="105" w:type="dxa"/>
              <w:end w:w="130" w:type="dxa"/>
            </w:tcMar>
            <w:vAlign w:val="center"/>
          </w:tcPr>
          <w:p>
            <w:pPr>
              <w:jc w:val="left"/>
            </w:pPr>
            <w:r>
              <w:rPr>
                <w:rFonts w:ascii="Arial" w:hAnsi="Arial"/>
                <w:color w:val="171717"/>
                <w:sz w:val="17"/>
              </w:rPr>
              <w:t>002</w:t>
            </w:r>
          </w:p>
        </w:tc>
        <w:tc>
          <w:tcPr>
            <w:tcW w:type="dxa" w:w="1800"/>
            <w:shd w:fill="F6F6F4"/>
            <w:tcMar>
              <w:top w:w="105" w:type="dxa"/>
              <w:start w:w="130" w:type="dxa"/>
              <w:bottom w:w="105" w:type="dxa"/>
              <w:end w:w="130" w:type="dxa"/>
            </w:tcMar>
            <w:vAlign w:val="center"/>
          </w:tcPr>
          <w:p>
            <w:pPr>
              <w:jc w:val="left"/>
            </w:pPr>
            <w:r>
              <w:rPr>
                <w:rFonts w:ascii="Arial" w:hAnsi="Arial"/>
                <w:color w:val="171717"/>
                <w:sz w:val="17"/>
              </w:rPr>
              <w:t>Catalog</w:t>
            </w:r>
          </w:p>
        </w:tc>
        <w:tc>
          <w:tcPr>
            <w:tcW w:type="dxa" w:w="6696"/>
            <w:shd w:fill="F6F6F4"/>
            <w:tcMar>
              <w:top w:w="105" w:type="dxa"/>
              <w:start w:w="130" w:type="dxa"/>
              <w:bottom w:w="105" w:type="dxa"/>
              <w:end w:w="130" w:type="dxa"/>
            </w:tcMar>
            <w:vAlign w:val="center"/>
          </w:tcPr>
          <w:p>
            <w:pPr>
              <w:jc w:val="left"/>
            </w:pPr>
            <w:r>
              <w:rPr>
                <w:rFonts w:ascii="Arial" w:hAnsi="Arial"/>
                <w:color w:val="171717"/>
                <w:sz w:val="17"/>
              </w:rPr>
              <w:t>Menus categories items variants modifiers pricing taxes allergens and inventory</w:t>
            </w:r>
          </w:p>
        </w:tc>
      </w:tr>
      <w:tr>
        <w:trPr>
          <w:cantSplit w:val="true"/>
        </w:trPr>
        <w:tc>
          <w:tcPr>
            <w:tcW w:type="dxa" w:w="936"/>
            <w:tcMar>
              <w:top w:w="105" w:type="dxa"/>
              <w:start w:w="130" w:type="dxa"/>
              <w:bottom w:w="105" w:type="dxa"/>
              <w:end w:w="130" w:type="dxa"/>
            </w:tcMar>
            <w:vAlign w:val="center"/>
          </w:tcPr>
          <w:p>
            <w:pPr>
              <w:jc w:val="left"/>
            </w:pPr>
            <w:r>
              <w:rPr>
                <w:rFonts w:ascii="Arial" w:hAnsi="Arial"/>
                <w:color w:val="171717"/>
                <w:sz w:val="17"/>
              </w:rPr>
              <w:t>003</w:t>
            </w:r>
          </w:p>
        </w:tc>
        <w:tc>
          <w:tcPr>
            <w:tcW w:type="dxa" w:w="1800"/>
            <w:tcMar>
              <w:top w:w="105" w:type="dxa"/>
              <w:start w:w="130" w:type="dxa"/>
              <w:bottom w:w="105" w:type="dxa"/>
              <w:end w:w="130" w:type="dxa"/>
            </w:tcMar>
            <w:vAlign w:val="center"/>
          </w:tcPr>
          <w:p>
            <w:pPr>
              <w:jc w:val="left"/>
            </w:pPr>
            <w:r>
              <w:rPr>
                <w:rFonts w:ascii="Arial" w:hAnsi="Arial"/>
                <w:color w:val="171717"/>
                <w:sz w:val="17"/>
              </w:rPr>
              <w:t>Orders</w:t>
            </w:r>
          </w:p>
        </w:tc>
        <w:tc>
          <w:tcPr>
            <w:tcW w:type="dxa" w:w="6696"/>
            <w:tcMar>
              <w:top w:w="105" w:type="dxa"/>
              <w:start w:w="130" w:type="dxa"/>
              <w:bottom w:w="105" w:type="dxa"/>
              <w:end w:w="130" w:type="dxa"/>
            </w:tcMar>
            <w:vAlign w:val="center"/>
          </w:tcPr>
          <w:p>
            <w:pPr>
              <w:jc w:val="left"/>
            </w:pPr>
            <w:r>
              <w:rPr>
                <w:rFonts w:ascii="Arial" w:hAnsi="Arial"/>
                <w:color w:val="171717"/>
                <w:sz w:val="17"/>
              </w:rPr>
              <w:t>Carts orders snapshots sequences tokens stations KOTs and events</w:t>
            </w:r>
          </w:p>
        </w:tc>
      </w:tr>
      <w:tr>
        <w:trPr>
          <w:cantSplit w:val="true"/>
        </w:trPr>
        <w:tc>
          <w:tcPr>
            <w:tcW w:type="dxa" w:w="936"/>
            <w:shd w:fill="F6F6F4"/>
            <w:tcMar>
              <w:top w:w="105" w:type="dxa"/>
              <w:start w:w="130" w:type="dxa"/>
              <w:bottom w:w="105" w:type="dxa"/>
              <w:end w:w="130" w:type="dxa"/>
            </w:tcMar>
            <w:vAlign w:val="center"/>
          </w:tcPr>
          <w:p>
            <w:pPr>
              <w:jc w:val="left"/>
            </w:pPr>
            <w:r>
              <w:rPr>
                <w:rFonts w:ascii="Arial" w:hAnsi="Arial"/>
                <w:color w:val="171717"/>
                <w:sz w:val="17"/>
              </w:rPr>
              <w:t>004</w:t>
            </w:r>
          </w:p>
        </w:tc>
        <w:tc>
          <w:tcPr>
            <w:tcW w:type="dxa" w:w="1800"/>
            <w:shd w:fill="F6F6F4"/>
            <w:tcMar>
              <w:top w:w="105" w:type="dxa"/>
              <w:start w:w="130" w:type="dxa"/>
              <w:bottom w:w="105" w:type="dxa"/>
              <w:end w:w="130" w:type="dxa"/>
            </w:tcMar>
            <w:vAlign w:val="center"/>
          </w:tcPr>
          <w:p>
            <w:pPr>
              <w:jc w:val="left"/>
            </w:pPr>
            <w:r>
              <w:rPr>
                <w:rFonts w:ascii="Arial" w:hAnsi="Arial"/>
                <w:color w:val="171717"/>
                <w:sz w:val="17"/>
              </w:rPr>
              <w:t>Payments</w:t>
            </w:r>
          </w:p>
        </w:tc>
        <w:tc>
          <w:tcPr>
            <w:tcW w:type="dxa" w:w="6696"/>
            <w:shd w:fill="F6F6F4"/>
            <w:tcMar>
              <w:top w:w="105" w:type="dxa"/>
              <w:start w:w="130" w:type="dxa"/>
              <w:bottom w:w="105" w:type="dxa"/>
              <w:end w:w="130" w:type="dxa"/>
            </w:tcMar>
            <w:vAlign w:val="center"/>
          </w:tcPr>
          <w:p>
            <w:pPr>
              <w:jc w:val="left"/>
            </w:pPr>
            <w:r>
              <w:rPr>
                <w:rFonts w:ascii="Arial" w:hAnsi="Arial"/>
                <w:color w:val="171717"/>
                <w:sz w:val="17"/>
              </w:rPr>
              <w:t>Methods intents transactions refunds promotions wallet commissions payouts and subscriptions</w:t>
            </w:r>
          </w:p>
        </w:tc>
      </w:tr>
      <w:tr>
        <w:trPr>
          <w:cantSplit w:val="true"/>
        </w:trPr>
        <w:tc>
          <w:tcPr>
            <w:tcW w:type="dxa" w:w="936"/>
            <w:tcMar>
              <w:top w:w="105" w:type="dxa"/>
              <w:start w:w="130" w:type="dxa"/>
              <w:bottom w:w="105" w:type="dxa"/>
              <w:end w:w="130" w:type="dxa"/>
            </w:tcMar>
            <w:vAlign w:val="center"/>
          </w:tcPr>
          <w:p>
            <w:pPr>
              <w:jc w:val="left"/>
            </w:pPr>
            <w:r>
              <w:rPr>
                <w:rFonts w:ascii="Arial" w:hAnsi="Arial"/>
                <w:color w:val="171717"/>
                <w:sz w:val="17"/>
              </w:rPr>
              <w:t>005</w:t>
            </w:r>
          </w:p>
        </w:tc>
        <w:tc>
          <w:tcPr>
            <w:tcW w:type="dxa" w:w="1800"/>
            <w:tcMar>
              <w:top w:w="105" w:type="dxa"/>
              <w:start w:w="130" w:type="dxa"/>
              <w:bottom w:w="105" w:type="dxa"/>
              <w:end w:w="130" w:type="dxa"/>
            </w:tcMar>
            <w:vAlign w:val="center"/>
          </w:tcPr>
          <w:p>
            <w:pPr>
              <w:jc w:val="left"/>
            </w:pPr>
            <w:r>
              <w:rPr>
                <w:rFonts w:ascii="Arial" w:hAnsi="Arial"/>
                <w:color w:val="171717"/>
                <w:sz w:val="17"/>
              </w:rPr>
              <w:t>POS operations</w:t>
            </w:r>
          </w:p>
        </w:tc>
        <w:tc>
          <w:tcPr>
            <w:tcW w:type="dxa" w:w="6696"/>
            <w:tcMar>
              <w:top w:w="105" w:type="dxa"/>
              <w:start w:w="130" w:type="dxa"/>
              <w:bottom w:w="105" w:type="dxa"/>
              <w:end w:w="130" w:type="dxa"/>
            </w:tcMar>
            <w:vAlign w:val="center"/>
          </w:tcPr>
          <w:p>
            <w:pPr>
              <w:jc w:val="left"/>
            </w:pPr>
            <w:r>
              <w:rPr>
                <w:rFonts w:ascii="Arial" w:hAnsi="Arial"/>
                <w:color w:val="171717"/>
                <w:sz w:val="17"/>
              </w:rPr>
              <w:t>Printers registers shifts receipts optional service feedback notifications and onboarding</w:t>
            </w:r>
          </w:p>
        </w:tc>
      </w:tr>
      <w:tr>
        <w:trPr>
          <w:cantSplit w:val="true"/>
        </w:trPr>
        <w:tc>
          <w:tcPr>
            <w:tcW w:type="dxa" w:w="936"/>
            <w:shd w:fill="F6F6F4"/>
            <w:tcMar>
              <w:top w:w="105" w:type="dxa"/>
              <w:start w:w="130" w:type="dxa"/>
              <w:bottom w:w="105" w:type="dxa"/>
              <w:end w:w="130" w:type="dxa"/>
            </w:tcMar>
            <w:vAlign w:val="center"/>
          </w:tcPr>
          <w:p>
            <w:pPr>
              <w:jc w:val="left"/>
            </w:pPr>
            <w:r>
              <w:rPr>
                <w:rFonts w:ascii="Arial" w:hAnsi="Arial"/>
                <w:color w:val="171717"/>
                <w:sz w:val="17"/>
              </w:rPr>
              <w:t>006</w:t>
            </w:r>
          </w:p>
        </w:tc>
        <w:tc>
          <w:tcPr>
            <w:tcW w:type="dxa" w:w="1800"/>
            <w:shd w:fill="F6F6F4"/>
            <w:tcMar>
              <w:top w:w="105" w:type="dxa"/>
              <w:start w:w="130" w:type="dxa"/>
              <w:bottom w:w="105" w:type="dxa"/>
              <w:end w:w="130" w:type="dxa"/>
            </w:tcMar>
            <w:vAlign w:val="center"/>
          </w:tcPr>
          <w:p>
            <w:pPr>
              <w:jc w:val="left"/>
            </w:pPr>
            <w:r>
              <w:rPr>
                <w:rFonts w:ascii="Arial" w:hAnsi="Arial"/>
                <w:color w:val="171717"/>
                <w:sz w:val="17"/>
              </w:rPr>
              <w:t>Reliability</w:t>
            </w:r>
          </w:p>
        </w:tc>
        <w:tc>
          <w:tcPr>
            <w:tcW w:type="dxa" w:w="6696"/>
            <w:shd w:fill="F6F6F4"/>
            <w:tcMar>
              <w:top w:w="105" w:type="dxa"/>
              <w:start w:w="130" w:type="dxa"/>
              <w:bottom w:w="105" w:type="dxa"/>
              <w:end w:w="130" w:type="dxa"/>
            </w:tcMar>
            <w:vAlign w:val="center"/>
          </w:tcPr>
          <w:p>
            <w:pPr>
              <w:jc w:val="left"/>
            </w:pPr>
            <w:r>
              <w:rPr>
                <w:rFonts w:ascii="Arial" w:hAnsi="Arial"/>
                <w:color w:val="171717"/>
                <w:sz w:val="17"/>
              </w:rPr>
              <w:t>Idempotency webhooks outbox audit privacy and login challenges</w:t>
            </w:r>
          </w:p>
        </w:tc>
      </w:tr>
      <w:tr>
        <w:trPr>
          <w:cantSplit w:val="true"/>
        </w:trPr>
        <w:tc>
          <w:tcPr>
            <w:tcW w:type="dxa" w:w="936"/>
            <w:tcMar>
              <w:top w:w="105" w:type="dxa"/>
              <w:start w:w="130" w:type="dxa"/>
              <w:bottom w:w="105" w:type="dxa"/>
              <w:end w:w="130" w:type="dxa"/>
            </w:tcMar>
            <w:vAlign w:val="center"/>
          </w:tcPr>
          <w:p>
            <w:pPr>
              <w:jc w:val="left"/>
            </w:pPr>
            <w:r>
              <w:rPr>
                <w:rFonts w:ascii="Arial" w:hAnsi="Arial"/>
                <w:color w:val="171717"/>
                <w:sz w:val="17"/>
              </w:rPr>
              <w:t>007</w:t>
            </w:r>
          </w:p>
        </w:tc>
        <w:tc>
          <w:tcPr>
            <w:tcW w:type="dxa" w:w="1800"/>
            <w:tcMar>
              <w:top w:w="105" w:type="dxa"/>
              <w:start w:w="130" w:type="dxa"/>
              <w:bottom w:w="105" w:type="dxa"/>
              <w:end w:w="130" w:type="dxa"/>
            </w:tcMar>
            <w:vAlign w:val="center"/>
          </w:tcPr>
          <w:p>
            <w:pPr>
              <w:jc w:val="left"/>
            </w:pPr>
            <w:r>
              <w:rPr>
                <w:rFonts w:ascii="Arial" w:hAnsi="Arial"/>
                <w:color w:val="171717"/>
                <w:sz w:val="17"/>
              </w:rPr>
              <w:t>Seeds and constraints</w:t>
            </w:r>
          </w:p>
        </w:tc>
        <w:tc>
          <w:tcPr>
            <w:tcW w:type="dxa" w:w="6696"/>
            <w:tcMar>
              <w:top w:w="105" w:type="dxa"/>
              <w:start w:w="130" w:type="dxa"/>
              <w:bottom w:w="105" w:type="dxa"/>
              <w:end w:w="130" w:type="dxa"/>
            </w:tcMar>
            <w:vAlign w:val="center"/>
          </w:tcPr>
          <w:p>
            <w:pPr>
              <w:jc w:val="left"/>
            </w:pPr>
            <w:r>
              <w:rPr>
                <w:rFonts w:ascii="Arial" w:hAnsi="Arial"/>
                <w:color w:val="171717"/>
                <w:sz w:val="17"/>
              </w:rPr>
              <w:t>Default features roles permissions statuses validation functions triggers and indexes</w:t>
            </w:r>
          </w:p>
        </w:tc>
      </w:tr>
    </w:tbl>
    <w:p>
      <w:pPr>
        <w:spacing w:after="20"/>
      </w:pPr>
    </w:p>
    <w:p>
      <w:pPr>
        <w:pStyle w:val="Heading2"/>
      </w:pPr>
      <w:r>
        <w:t>Local operating workflow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1728"/>
            <w:shd w:fill="4A4A4A"/>
            <w:tcMar>
              <w:top w:w="120" w:type="dxa"/>
              <w:start w:w="130" w:type="dxa"/>
              <w:bottom w:w="120" w:type="dxa"/>
              <w:end w:w="130" w:type="dxa"/>
            </w:tcMar>
            <w:vAlign w:val="center"/>
          </w:tcPr>
          <w:p>
            <w:pPr>
              <w:jc w:val="center"/>
            </w:pPr>
            <w:r>
              <w:rPr>
                <w:rFonts w:ascii="Arial" w:hAnsi="Arial"/>
                <w:b/>
                <w:color w:val="FFFFFF"/>
                <w:sz w:val="18"/>
              </w:rPr>
              <w:t>Command</w:t>
            </w:r>
          </w:p>
        </w:tc>
        <w:tc>
          <w:tcPr>
            <w:tcW w:type="dxa" w:w="7704"/>
            <w:shd w:fill="4A4A4A"/>
            <w:tcMar>
              <w:top w:w="120" w:type="dxa"/>
              <w:start w:w="130" w:type="dxa"/>
              <w:bottom w:w="120" w:type="dxa"/>
              <w:end w:w="130" w:type="dxa"/>
            </w:tcMar>
            <w:vAlign w:val="center"/>
          </w:tcPr>
          <w:p>
            <w:pPr>
              <w:jc w:val="center"/>
            </w:pPr>
            <w:r>
              <w:rPr>
                <w:rFonts w:ascii="Arial" w:hAnsi="Arial"/>
                <w:b/>
                <w:color w:val="FFFFFF"/>
                <w:sz w:val="18"/>
              </w:rPr>
              <w:t>Purpose</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8"/>
              </w:rPr>
              <w:t>Up</w:t>
            </w:r>
          </w:p>
        </w:tc>
        <w:tc>
          <w:tcPr>
            <w:tcW w:type="dxa" w:w="7704"/>
            <w:tcMar>
              <w:top w:w="105" w:type="dxa"/>
              <w:start w:w="130" w:type="dxa"/>
              <w:bottom w:w="105" w:type="dxa"/>
              <w:end w:w="130" w:type="dxa"/>
            </w:tcMar>
            <w:vAlign w:val="center"/>
          </w:tcPr>
          <w:p>
            <w:pPr>
              <w:jc w:val="left"/>
            </w:pPr>
            <w:r>
              <w:rPr>
                <w:rFonts w:ascii="Arial" w:hAnsi="Arial"/>
                <w:color w:val="171717"/>
                <w:sz w:val="18"/>
              </w:rPr>
              <w:t>Starts PostgreSQL 16 Alpine using Docker Compose.</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8"/>
              </w:rPr>
              <w:t>Migrate</w:t>
            </w:r>
          </w:p>
        </w:tc>
        <w:tc>
          <w:tcPr>
            <w:tcW w:type="dxa" w:w="7704"/>
            <w:shd w:fill="F6F6F4"/>
            <w:tcMar>
              <w:top w:w="105" w:type="dxa"/>
              <w:start w:w="130" w:type="dxa"/>
              <w:bottom w:w="105" w:type="dxa"/>
              <w:end w:w="130" w:type="dxa"/>
            </w:tcMar>
            <w:vAlign w:val="center"/>
          </w:tcPr>
          <w:p>
            <w:pPr>
              <w:jc w:val="left"/>
            </w:pPr>
            <w:r>
              <w:rPr>
                <w:rFonts w:ascii="Arial" w:hAnsi="Arial"/>
                <w:color w:val="171717"/>
                <w:sz w:val="18"/>
              </w:rPr>
              <w:t>Applies migrations in order and records their SHA 256 checksum in a ledger.</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8"/>
              </w:rPr>
              <w:t>Verify</w:t>
            </w:r>
          </w:p>
        </w:tc>
        <w:tc>
          <w:tcPr>
            <w:tcW w:type="dxa" w:w="7704"/>
            <w:tcMar>
              <w:top w:w="105" w:type="dxa"/>
              <w:start w:w="130" w:type="dxa"/>
              <w:bottom w:w="105" w:type="dxa"/>
              <w:end w:w="130" w:type="dxa"/>
            </w:tcMar>
            <w:vAlign w:val="center"/>
          </w:tcPr>
          <w:p>
            <w:pPr>
              <w:jc w:val="left"/>
            </w:pPr>
            <w:r>
              <w:rPr>
                <w:rFonts w:ascii="Arial" w:hAnsi="Arial"/>
                <w:color w:val="171717"/>
                <w:sz w:val="18"/>
              </w:rPr>
              <w:t>Runs the transactional schema smoke test and rolls fixture data back.</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8"/>
              </w:rPr>
              <w:t>Status</w:t>
            </w:r>
          </w:p>
        </w:tc>
        <w:tc>
          <w:tcPr>
            <w:tcW w:type="dxa" w:w="7704"/>
            <w:shd w:fill="F6F6F4"/>
            <w:tcMar>
              <w:top w:w="105" w:type="dxa"/>
              <w:start w:w="130" w:type="dxa"/>
              <w:bottom w:w="105" w:type="dxa"/>
              <w:end w:w="130" w:type="dxa"/>
            </w:tcMar>
            <w:vAlign w:val="center"/>
          </w:tcPr>
          <w:p>
            <w:pPr>
              <w:jc w:val="left"/>
            </w:pPr>
            <w:r>
              <w:rPr>
                <w:rFonts w:ascii="Arial" w:hAnsi="Arial"/>
                <w:color w:val="171717"/>
                <w:sz w:val="18"/>
              </w:rPr>
              <w:t>Shows the database and migration state.</w:t>
            </w:r>
          </w:p>
        </w:tc>
      </w:tr>
      <w:tr>
        <w:trPr>
          <w:cantSplit w:val="true"/>
        </w:trPr>
        <w:tc>
          <w:tcPr>
            <w:tcW w:type="dxa" w:w="1728"/>
            <w:tcMar>
              <w:top w:w="105" w:type="dxa"/>
              <w:start w:w="130" w:type="dxa"/>
              <w:bottom w:w="105" w:type="dxa"/>
              <w:end w:w="130" w:type="dxa"/>
            </w:tcMar>
            <w:vAlign w:val="center"/>
          </w:tcPr>
          <w:p>
            <w:pPr>
              <w:jc w:val="left"/>
            </w:pPr>
            <w:r>
              <w:rPr>
                <w:rFonts w:ascii="Arial" w:hAnsi="Arial"/>
                <w:color w:val="171717"/>
                <w:sz w:val="18"/>
              </w:rPr>
              <w:t>Logs</w:t>
            </w:r>
          </w:p>
        </w:tc>
        <w:tc>
          <w:tcPr>
            <w:tcW w:type="dxa" w:w="7704"/>
            <w:tcMar>
              <w:top w:w="105" w:type="dxa"/>
              <w:start w:w="130" w:type="dxa"/>
              <w:bottom w:w="105" w:type="dxa"/>
              <w:end w:w="130" w:type="dxa"/>
            </w:tcMar>
            <w:vAlign w:val="center"/>
          </w:tcPr>
          <w:p>
            <w:pPr>
              <w:jc w:val="left"/>
            </w:pPr>
            <w:r>
              <w:rPr>
                <w:rFonts w:ascii="Arial" w:hAnsi="Arial"/>
                <w:color w:val="171717"/>
                <w:sz w:val="18"/>
              </w:rPr>
              <w:t>Shows container logs for diagnosis.</w:t>
            </w:r>
          </w:p>
        </w:tc>
      </w:tr>
      <w:tr>
        <w:trPr>
          <w:cantSplit w:val="true"/>
        </w:trPr>
        <w:tc>
          <w:tcPr>
            <w:tcW w:type="dxa" w:w="1728"/>
            <w:shd w:fill="F6F6F4"/>
            <w:tcMar>
              <w:top w:w="105" w:type="dxa"/>
              <w:start w:w="130" w:type="dxa"/>
              <w:bottom w:w="105" w:type="dxa"/>
              <w:end w:w="130" w:type="dxa"/>
            </w:tcMar>
            <w:vAlign w:val="center"/>
          </w:tcPr>
          <w:p>
            <w:pPr>
              <w:jc w:val="left"/>
            </w:pPr>
            <w:r>
              <w:rPr>
                <w:rFonts w:ascii="Arial" w:hAnsi="Arial"/>
                <w:color w:val="171717"/>
                <w:sz w:val="18"/>
              </w:rPr>
              <w:t>Down</w:t>
            </w:r>
          </w:p>
        </w:tc>
        <w:tc>
          <w:tcPr>
            <w:tcW w:type="dxa" w:w="7704"/>
            <w:shd w:fill="F6F6F4"/>
            <w:tcMar>
              <w:top w:w="105" w:type="dxa"/>
              <w:start w:w="130" w:type="dxa"/>
              <w:bottom w:w="105" w:type="dxa"/>
              <w:end w:w="130" w:type="dxa"/>
            </w:tcMar>
            <w:vAlign w:val="center"/>
          </w:tcPr>
          <w:p>
            <w:pPr>
              <w:jc w:val="left"/>
            </w:pPr>
            <w:r>
              <w:rPr>
                <w:rFonts w:ascii="Arial" w:hAnsi="Arial"/>
                <w:color w:val="171717"/>
                <w:sz w:val="18"/>
              </w:rPr>
              <w:t>Stops the local database; volume removal is an explicit separate choice.</w:t>
            </w:r>
          </w:p>
        </w:tc>
      </w:tr>
    </w:tbl>
    <w:p>
      <w:pPr>
        <w:spacing w:after="20"/>
      </w:pPr>
    </w:p>
    <w:p>
      <w:pPr>
        <w:pStyle w:val="Heading2"/>
      </w:pPr>
      <w:r>
        <w:t>Verification evidence</w:t>
      </w:r>
    </w:p>
    <w:p>
      <w:pPr>
        <w:pStyle w:val="ListBullet"/>
      </w:pPr>
      <w:r>
        <w:t>All seven migrations replayed successfully from an empty PostgreSQL 16 Docker volume.</w:t>
      </w:r>
    </w:p>
    <w:p>
      <w:pPr>
        <w:pStyle w:val="ListBullet"/>
      </w:pPr>
      <w:r>
        <w:t>A second migration run skipped all files after matching stored SHA 256 checksums.</w:t>
      </w:r>
    </w:p>
    <w:p>
      <w:pPr>
        <w:pStyle w:val="ListBullet"/>
      </w:pPr>
      <w:r>
        <w:t>The smoke test created campus canteen outlet counter terminal catalog variant add-on tax order token transition history and outbox records transactionally.</w:t>
      </w:r>
    </w:p>
    <w:p>
      <w:pPr>
        <w:pStyle w:val="ListBullet"/>
      </w:pPr>
      <w:r>
        <w:t>The smoke test verified idempotent token allocation and rejected an unauthorized status transition.</w:t>
      </w:r>
    </w:p>
    <w:p>
      <w:pPr>
        <w:pStyle w:val="ListBullet"/>
      </w:pPr>
      <w:r>
        <w:t>Every table with updated_at has an automatic timestamp trigger.</w:t>
      </w:r>
    </w:p>
    <w:p>
      <w:pPr>
        <w:pStyle w:val="ListBullet"/>
      </w:pPr>
      <w:r>
        <w:t>High-concurrency load testing and production restore testing remain future release gates.</w:t>
      </w:r>
    </w:p>
    <w:p>
      <w:pPr>
        <w:pStyle w:val="Heading1"/>
      </w:pPr>
      <w:r>
        <w:t>Production readiness and TBD decisions</w:t>
      </w:r>
    </w:p>
    <w:p>
      <w:r>
        <w:t>The schema is production-oriented and locally verified, but production readiness belongs to the complete system. The following work must be completed or approved before launch.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cantSplit w:val="true"/>
        </w:trPr>
        <w:tc>
          <w:tcPr>
            <w:tcW w:type="dxa" w:w="1944"/>
            <w:shd w:fill="4A4A4A"/>
            <w:tcMar>
              <w:top w:w="120" w:type="dxa"/>
              <w:start w:w="130" w:type="dxa"/>
              <w:bottom w:w="120" w:type="dxa"/>
              <w:end w:w="130" w:type="dxa"/>
            </w:tcMar>
            <w:vAlign w:val="center"/>
          </w:tcPr>
          <w:p>
            <w:pPr>
              <w:jc w:val="center"/>
            </w:pPr>
            <w:r>
              <w:rPr>
                <w:rFonts w:ascii="Arial" w:hAnsi="Arial"/>
                <w:b/>
                <w:color w:val="FFFFFF"/>
                <w:sz w:val="18"/>
              </w:rPr>
              <w:t>Area</w:t>
            </w:r>
          </w:p>
        </w:tc>
        <w:tc>
          <w:tcPr>
            <w:tcW w:type="dxa" w:w="5760"/>
            <w:shd w:fill="4A4A4A"/>
            <w:tcMar>
              <w:top w:w="120" w:type="dxa"/>
              <w:start w:w="130" w:type="dxa"/>
              <w:bottom w:w="120" w:type="dxa"/>
              <w:end w:w="130" w:type="dxa"/>
            </w:tcMar>
            <w:vAlign w:val="center"/>
          </w:tcPr>
          <w:p>
            <w:pPr>
              <w:jc w:val="center"/>
            </w:pPr>
            <w:r>
              <w:rPr>
                <w:rFonts w:ascii="Arial" w:hAnsi="Arial"/>
                <w:b/>
                <w:color w:val="FFFFFF"/>
                <w:sz w:val="18"/>
              </w:rPr>
              <w:t>Required decision or implementation</w:t>
            </w:r>
          </w:p>
        </w:tc>
        <w:tc>
          <w:tcPr>
            <w:tcW w:type="dxa" w:w="1728"/>
            <w:shd w:fill="4A4A4A"/>
            <w:tcMar>
              <w:top w:w="120" w:type="dxa"/>
              <w:start w:w="130" w:type="dxa"/>
              <w:bottom w:w="120" w:type="dxa"/>
              <w:end w:w="130" w:type="dxa"/>
            </w:tcMar>
            <w:vAlign w:val="center"/>
          </w:tcPr>
          <w:p>
            <w:pPr>
              <w:jc w:val="center"/>
            </w:pPr>
            <w:r>
              <w:rPr>
                <w:rFonts w:ascii="Arial" w:hAnsi="Arial"/>
                <w:b/>
                <w:color w:val="FFFFFF"/>
                <w:sz w:val="18"/>
              </w:rPr>
              <w:t>Status</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6"/>
              </w:rPr>
              <w:t>Backend framework and runtime identity</w:t>
            </w:r>
          </w:p>
        </w:tc>
        <w:tc>
          <w:tcPr>
            <w:tcW w:type="dxa" w:w="5760"/>
            <w:tcMar>
              <w:top w:w="105" w:type="dxa"/>
              <w:start w:w="130" w:type="dxa"/>
              <w:bottom w:w="105" w:type="dxa"/>
              <w:end w:w="130" w:type="dxa"/>
            </w:tcMar>
            <w:vAlign w:val="center"/>
          </w:tcPr>
          <w:p>
            <w:pPr>
              <w:jc w:val="left"/>
            </w:pPr>
            <w:r>
              <w:rPr>
                <w:rFonts w:ascii="Arial" w:hAnsi="Arial"/>
                <w:color w:val="171717"/>
                <w:sz w:val="16"/>
              </w:rPr>
              <w:t>Select framework session design database roles and whether row-level security is used.</w:t>
            </w:r>
          </w:p>
        </w:tc>
        <w:tc>
          <w:tcPr>
            <w:tcW w:type="dxa" w:w="1728"/>
            <w:tcMar>
              <w:top w:w="105" w:type="dxa"/>
              <w:start w:w="130" w:type="dxa"/>
              <w:bottom w:w="105" w:type="dxa"/>
              <w:end w:w="130" w:type="dxa"/>
            </w:tcMar>
            <w:vAlign w:val="center"/>
          </w:tcPr>
          <w:p>
            <w:pPr>
              <w:jc w:val="left"/>
            </w:pPr>
            <w:r>
              <w:rPr>
                <w:rFonts w:ascii="Arial" w:hAnsi="Arial"/>
                <w:color w:val="171717"/>
                <w:sz w:val="16"/>
              </w:rPr>
              <w:t>TBD</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6"/>
              </w:rPr>
              <w:t>Student authentication</w:t>
            </w:r>
          </w:p>
        </w:tc>
        <w:tc>
          <w:tcPr>
            <w:tcW w:type="dxa" w:w="5760"/>
            <w:shd w:fill="F6F6F4"/>
            <w:tcMar>
              <w:top w:w="105" w:type="dxa"/>
              <w:start w:w="130" w:type="dxa"/>
              <w:bottom w:w="105" w:type="dxa"/>
              <w:end w:w="130" w:type="dxa"/>
            </w:tcMar>
            <w:vAlign w:val="center"/>
          </w:tcPr>
          <w:p>
            <w:pPr>
              <w:jc w:val="left"/>
            </w:pPr>
            <w:r>
              <w:rPr>
                <w:rFonts w:ascii="Arial" w:hAnsi="Arial"/>
                <w:color w:val="171717"/>
                <w:sz w:val="16"/>
              </w:rPr>
              <w:t>Approve phone OTP Truecaller guest access or a subset with abuse controls.</w:t>
            </w:r>
          </w:p>
        </w:tc>
        <w:tc>
          <w:tcPr>
            <w:tcW w:type="dxa" w:w="1728"/>
            <w:shd w:fill="F6F6F4"/>
            <w:tcMar>
              <w:top w:w="105" w:type="dxa"/>
              <w:start w:w="130" w:type="dxa"/>
              <w:bottom w:w="105" w:type="dxa"/>
              <w:end w:w="130" w:type="dxa"/>
            </w:tcMar>
            <w:vAlign w:val="center"/>
          </w:tcPr>
          <w:p>
            <w:pPr>
              <w:jc w:val="left"/>
            </w:pPr>
            <w:r>
              <w:rPr>
                <w:rFonts w:ascii="Arial" w:hAnsi="Arial"/>
                <w:color w:val="171717"/>
                <w:sz w:val="16"/>
              </w:rPr>
              <w:t>Blocking for auth flow</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6"/>
              </w:rPr>
              <w:t>Payment methods</w:t>
            </w:r>
          </w:p>
        </w:tc>
        <w:tc>
          <w:tcPr>
            <w:tcW w:type="dxa" w:w="5760"/>
            <w:tcMar>
              <w:top w:w="105" w:type="dxa"/>
              <w:start w:w="130" w:type="dxa"/>
              <w:bottom w:w="105" w:type="dxa"/>
              <w:end w:w="130" w:type="dxa"/>
            </w:tcMar>
            <w:vAlign w:val="center"/>
          </w:tcPr>
          <w:p>
            <w:pPr>
              <w:jc w:val="left"/>
            </w:pPr>
            <w:r>
              <w:rPr>
                <w:rFonts w:ascii="Arial" w:hAnsi="Arial"/>
                <w:color w:val="171717"/>
                <w:sz w:val="16"/>
              </w:rPr>
              <w:t>Approve launch methods providers split tender behavior settlement and KOT timing.</w:t>
            </w:r>
          </w:p>
        </w:tc>
        <w:tc>
          <w:tcPr>
            <w:tcW w:type="dxa" w:w="1728"/>
            <w:tcMar>
              <w:top w:w="105" w:type="dxa"/>
              <w:start w:w="130" w:type="dxa"/>
              <w:bottom w:w="105" w:type="dxa"/>
              <w:end w:w="130" w:type="dxa"/>
            </w:tcMar>
            <w:vAlign w:val="center"/>
          </w:tcPr>
          <w:p>
            <w:pPr>
              <w:jc w:val="left"/>
            </w:pPr>
            <w:r>
              <w:rPr>
                <w:rFonts w:ascii="Arial" w:hAnsi="Arial"/>
                <w:color w:val="171717"/>
                <w:sz w:val="16"/>
              </w:rPr>
              <w:t>Blocking for checkout</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6"/>
              </w:rPr>
              <w:t>Tax and rounding</w:t>
            </w:r>
          </w:p>
        </w:tc>
        <w:tc>
          <w:tcPr>
            <w:tcW w:type="dxa" w:w="5760"/>
            <w:shd w:fill="F6F6F4"/>
            <w:tcMar>
              <w:top w:w="105" w:type="dxa"/>
              <w:start w:w="130" w:type="dxa"/>
              <w:bottom w:w="105" w:type="dxa"/>
              <w:end w:w="130" w:type="dxa"/>
            </w:tcMar>
            <w:vAlign w:val="center"/>
          </w:tcPr>
          <w:p>
            <w:pPr>
              <w:jc w:val="left"/>
            </w:pPr>
            <w:r>
              <w:rPr>
                <w:rFonts w:ascii="Arial" w:hAnsi="Arial"/>
                <w:color w:val="171717"/>
                <w:sz w:val="16"/>
              </w:rPr>
              <w:t>Approve calculation order inclusive extraction discount interaction and accounting fixtures.</w:t>
            </w:r>
          </w:p>
        </w:tc>
        <w:tc>
          <w:tcPr>
            <w:tcW w:type="dxa" w:w="1728"/>
            <w:shd w:fill="F6F6F4"/>
            <w:tcMar>
              <w:top w:w="105" w:type="dxa"/>
              <w:start w:w="130" w:type="dxa"/>
              <w:bottom w:w="105" w:type="dxa"/>
              <w:end w:w="130" w:type="dxa"/>
            </w:tcMar>
            <w:vAlign w:val="center"/>
          </w:tcPr>
          <w:p>
            <w:pPr>
              <w:jc w:val="left"/>
            </w:pPr>
            <w:r>
              <w:rPr>
                <w:rFonts w:ascii="Arial" w:hAnsi="Arial"/>
                <w:color w:val="171717"/>
                <w:sz w:val="16"/>
              </w:rPr>
              <w:t>Blocking for totals</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6"/>
              </w:rPr>
              <w:t>Pickup lifecycle</w:t>
            </w:r>
          </w:p>
        </w:tc>
        <w:tc>
          <w:tcPr>
            <w:tcW w:type="dxa" w:w="5760"/>
            <w:tcMar>
              <w:top w:w="105" w:type="dxa"/>
              <w:start w:w="130" w:type="dxa"/>
              <w:bottom w:w="105" w:type="dxa"/>
              <w:end w:w="130" w:type="dxa"/>
            </w:tcMar>
            <w:vAlign w:val="center"/>
          </w:tcPr>
          <w:p>
            <w:pPr>
              <w:jc w:val="left"/>
            </w:pPr>
            <w:r>
              <w:rPr>
                <w:rFonts w:ascii="Arial" w:hAnsi="Arial"/>
                <w:color w:val="171717"/>
                <w:sz w:val="16"/>
              </w:rPr>
              <w:t>Confirm seeded transitions cancellation rejection refund and no-show behavior.</w:t>
            </w:r>
          </w:p>
        </w:tc>
        <w:tc>
          <w:tcPr>
            <w:tcW w:type="dxa" w:w="1728"/>
            <w:tcMar>
              <w:top w:w="105" w:type="dxa"/>
              <w:start w:w="130" w:type="dxa"/>
              <w:bottom w:w="105" w:type="dxa"/>
              <w:end w:w="130" w:type="dxa"/>
            </w:tcMar>
            <w:vAlign w:val="center"/>
          </w:tcPr>
          <w:p>
            <w:pPr>
              <w:jc w:val="left"/>
            </w:pPr>
            <w:r>
              <w:rPr>
                <w:rFonts w:ascii="Arial" w:hAnsi="Arial"/>
                <w:color w:val="171717"/>
                <w:sz w:val="16"/>
              </w:rPr>
              <w:t>Blocking for UI API</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6"/>
              </w:rPr>
              <w:t>Optional features</w:t>
            </w:r>
          </w:p>
        </w:tc>
        <w:tc>
          <w:tcPr>
            <w:tcW w:type="dxa" w:w="5760"/>
            <w:shd w:fill="F6F6F4"/>
            <w:tcMar>
              <w:top w:w="105" w:type="dxa"/>
              <w:start w:w="130" w:type="dxa"/>
              <w:bottom w:w="105" w:type="dxa"/>
              <w:end w:w="130" w:type="dxa"/>
            </w:tcMar>
            <w:vAlign w:val="center"/>
          </w:tcPr>
          <w:p>
            <w:pPr>
              <w:jc w:val="left"/>
            </w:pPr>
            <w:r>
              <w:rPr>
                <w:rFonts w:ascii="Arial" w:hAnsi="Arial"/>
                <w:color w:val="171717"/>
                <w:sz w:val="16"/>
              </w:rPr>
              <w:t>Approve wallet coupons inventory feedback dine-in reservation delivery commissions and subscriptions individually.</w:t>
            </w:r>
          </w:p>
        </w:tc>
        <w:tc>
          <w:tcPr>
            <w:tcW w:type="dxa" w:w="1728"/>
            <w:shd w:fill="F6F6F4"/>
            <w:tcMar>
              <w:top w:w="105" w:type="dxa"/>
              <w:start w:w="130" w:type="dxa"/>
              <w:bottom w:w="105" w:type="dxa"/>
              <w:end w:w="130" w:type="dxa"/>
            </w:tcMar>
            <w:vAlign w:val="center"/>
          </w:tcPr>
          <w:p>
            <w:pPr>
              <w:jc w:val="left"/>
            </w:pPr>
            <w:r>
              <w:rPr>
                <w:rFonts w:ascii="Arial" w:hAnsi="Arial"/>
                <w:color w:val="171717"/>
                <w:sz w:val="16"/>
              </w:rPr>
              <w:t>Disabled by default</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6"/>
              </w:rPr>
              <w:t>Realtime and jobs</w:t>
            </w:r>
          </w:p>
        </w:tc>
        <w:tc>
          <w:tcPr>
            <w:tcW w:type="dxa" w:w="5760"/>
            <w:tcMar>
              <w:top w:w="105" w:type="dxa"/>
              <w:start w:w="130" w:type="dxa"/>
              <w:bottom w:w="105" w:type="dxa"/>
              <w:end w:w="130" w:type="dxa"/>
            </w:tcMar>
            <w:vAlign w:val="center"/>
          </w:tcPr>
          <w:p>
            <w:pPr>
              <w:jc w:val="left"/>
            </w:pPr>
            <w:r>
              <w:rPr>
                <w:rFonts w:ascii="Arial" w:hAnsi="Arial"/>
                <w:color w:val="171717"/>
                <w:sz w:val="16"/>
              </w:rPr>
              <w:t>Select event transport queue worker printer adapter retries and monitoring.</w:t>
            </w:r>
          </w:p>
        </w:tc>
        <w:tc>
          <w:tcPr>
            <w:tcW w:type="dxa" w:w="1728"/>
            <w:tcMar>
              <w:top w:w="105" w:type="dxa"/>
              <w:start w:w="130" w:type="dxa"/>
              <w:bottom w:w="105" w:type="dxa"/>
              <w:end w:w="130" w:type="dxa"/>
            </w:tcMar>
            <w:vAlign w:val="center"/>
          </w:tcPr>
          <w:p>
            <w:pPr>
              <w:jc w:val="left"/>
            </w:pPr>
            <w:r>
              <w:rPr>
                <w:rFonts w:ascii="Arial" w:hAnsi="Arial"/>
                <w:color w:val="171717"/>
                <w:sz w:val="16"/>
              </w:rPr>
              <w:t>TBD</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6"/>
              </w:rPr>
              <w:t>Deployment</w:t>
            </w:r>
          </w:p>
        </w:tc>
        <w:tc>
          <w:tcPr>
            <w:tcW w:type="dxa" w:w="5760"/>
            <w:shd w:fill="F6F6F4"/>
            <w:tcMar>
              <w:top w:w="105" w:type="dxa"/>
              <w:start w:w="130" w:type="dxa"/>
              <w:bottom w:w="105" w:type="dxa"/>
              <w:end w:w="130" w:type="dxa"/>
            </w:tcMar>
            <w:vAlign w:val="center"/>
          </w:tcPr>
          <w:p>
            <w:pPr>
              <w:jc w:val="left"/>
            </w:pPr>
            <w:r>
              <w:rPr>
                <w:rFonts w:ascii="Arial" w:hAnsi="Arial"/>
                <w:color w:val="171717"/>
                <w:sz w:val="16"/>
              </w:rPr>
              <w:t>Select hosting database storage CI backups restore monitoring alerts and incident ownership.</w:t>
            </w:r>
          </w:p>
        </w:tc>
        <w:tc>
          <w:tcPr>
            <w:tcW w:type="dxa" w:w="1728"/>
            <w:shd w:fill="F6F6F4"/>
            <w:tcMar>
              <w:top w:w="105" w:type="dxa"/>
              <w:start w:w="130" w:type="dxa"/>
              <w:bottom w:w="105" w:type="dxa"/>
              <w:end w:w="130" w:type="dxa"/>
            </w:tcMar>
            <w:vAlign w:val="center"/>
          </w:tcPr>
          <w:p>
            <w:pPr>
              <w:jc w:val="left"/>
            </w:pPr>
            <w:r>
              <w:rPr>
                <w:rFonts w:ascii="Arial" w:hAnsi="Arial"/>
                <w:color w:val="171717"/>
                <w:sz w:val="16"/>
              </w:rPr>
              <w:t>TBD</w:t>
            </w:r>
          </w:p>
        </w:tc>
      </w:tr>
      <w:tr>
        <w:trPr>
          <w:cantSplit w:val="true"/>
        </w:trPr>
        <w:tc>
          <w:tcPr>
            <w:tcW w:type="dxa" w:w="1944"/>
            <w:tcMar>
              <w:top w:w="105" w:type="dxa"/>
              <w:start w:w="130" w:type="dxa"/>
              <w:bottom w:w="105" w:type="dxa"/>
              <w:end w:w="130" w:type="dxa"/>
            </w:tcMar>
            <w:vAlign w:val="center"/>
          </w:tcPr>
          <w:p>
            <w:pPr>
              <w:jc w:val="left"/>
            </w:pPr>
            <w:r>
              <w:rPr>
                <w:rFonts w:ascii="Arial" w:hAnsi="Arial"/>
                <w:color w:val="171717"/>
                <w:sz w:val="16"/>
              </w:rPr>
              <w:t>Compliance</w:t>
            </w:r>
          </w:p>
        </w:tc>
        <w:tc>
          <w:tcPr>
            <w:tcW w:type="dxa" w:w="5760"/>
            <w:tcMar>
              <w:top w:w="105" w:type="dxa"/>
              <w:start w:w="130" w:type="dxa"/>
              <w:bottom w:w="105" w:type="dxa"/>
              <w:end w:w="130" w:type="dxa"/>
            </w:tcMar>
            <w:vAlign w:val="center"/>
          </w:tcPr>
          <w:p>
            <w:pPr>
              <w:jc w:val="left"/>
            </w:pPr>
            <w:r>
              <w:rPr>
                <w:rFonts w:ascii="Arial" w:hAnsi="Arial"/>
                <w:color w:val="171717"/>
                <w:sz w:val="16"/>
              </w:rPr>
              <w:t>Confirm Indian privacy tax invoice payment campus minor consent retention and deletion requirements.</w:t>
            </w:r>
          </w:p>
        </w:tc>
        <w:tc>
          <w:tcPr>
            <w:tcW w:type="dxa" w:w="1728"/>
            <w:tcMar>
              <w:top w:w="105" w:type="dxa"/>
              <w:start w:w="130" w:type="dxa"/>
              <w:bottom w:w="105" w:type="dxa"/>
              <w:end w:w="130" w:type="dxa"/>
            </w:tcMar>
            <w:vAlign w:val="center"/>
          </w:tcPr>
          <w:p>
            <w:pPr>
              <w:jc w:val="left"/>
            </w:pPr>
            <w:r>
              <w:rPr>
                <w:rFonts w:ascii="Arial" w:hAnsi="Arial"/>
                <w:color w:val="171717"/>
                <w:sz w:val="16"/>
              </w:rPr>
              <w:t>TBD owner legal</w:t>
            </w:r>
          </w:p>
        </w:tc>
      </w:tr>
      <w:tr>
        <w:trPr>
          <w:cantSplit w:val="true"/>
        </w:trPr>
        <w:tc>
          <w:tcPr>
            <w:tcW w:type="dxa" w:w="1944"/>
            <w:shd w:fill="F6F6F4"/>
            <w:tcMar>
              <w:top w:w="105" w:type="dxa"/>
              <w:start w:w="130" w:type="dxa"/>
              <w:bottom w:w="105" w:type="dxa"/>
              <w:end w:w="130" w:type="dxa"/>
            </w:tcMar>
            <w:vAlign w:val="center"/>
          </w:tcPr>
          <w:p>
            <w:pPr>
              <w:jc w:val="left"/>
            </w:pPr>
            <w:r>
              <w:rPr>
                <w:rFonts w:ascii="Arial" w:hAnsi="Arial"/>
                <w:color w:val="171717"/>
                <w:sz w:val="16"/>
              </w:rPr>
              <w:t>Performance</w:t>
            </w:r>
          </w:p>
        </w:tc>
        <w:tc>
          <w:tcPr>
            <w:tcW w:type="dxa" w:w="5760"/>
            <w:shd w:fill="F6F6F4"/>
            <w:tcMar>
              <w:top w:w="105" w:type="dxa"/>
              <w:start w:w="130" w:type="dxa"/>
              <w:bottom w:w="105" w:type="dxa"/>
              <w:end w:w="130" w:type="dxa"/>
            </w:tcMar>
            <w:vAlign w:val="center"/>
          </w:tcPr>
          <w:p>
            <w:pPr>
              <w:jc w:val="left"/>
            </w:pPr>
            <w:r>
              <w:rPr>
                <w:rFonts w:ascii="Arial" w:hAnsi="Arial"/>
                <w:color w:val="171717"/>
                <w:sz w:val="16"/>
              </w:rPr>
              <w:t>Load test campus rush traffic simultaneous tokens payment retries KOT printing and stale POS clients.</w:t>
            </w:r>
          </w:p>
        </w:tc>
        <w:tc>
          <w:tcPr>
            <w:tcW w:type="dxa" w:w="1728"/>
            <w:shd w:fill="F6F6F4"/>
            <w:tcMar>
              <w:top w:w="105" w:type="dxa"/>
              <w:start w:w="130" w:type="dxa"/>
              <w:bottom w:w="105" w:type="dxa"/>
              <w:end w:w="130" w:type="dxa"/>
            </w:tcMar>
            <w:vAlign w:val="center"/>
          </w:tcPr>
          <w:p>
            <w:pPr>
              <w:jc w:val="left"/>
            </w:pPr>
            <w:r>
              <w:rPr>
                <w:rFonts w:ascii="Arial" w:hAnsi="Arial"/>
                <w:color w:val="171717"/>
                <w:sz w:val="16"/>
              </w:rPr>
              <w:t>Required before launch</w:t>
            </w:r>
          </w:p>
        </w:tc>
      </w:tr>
    </w:tbl>
    <w:p>
      <w:pPr>
        <w:spacing w:after="20"/>
      </w:pPr>
    </w:p>
    <w:p>
      <w:pPr>
        <w:pStyle w:val="Heading1"/>
      </w:pPr>
      <w:r>
        <w:t>Complete table catalogue</w:t>
      </w:r>
    </w:p>
    <w:p>
      <w:r>
        <w:t>This catalogue lists every application table created by migrations 001 through 006. Migration 007 adds seed data functions triggers constraints and indexes but does not add application tables. Key fields omit universal identity and audit columns to keep the reference readable.</w:t>
      </w:r>
    </w:p>
    <w:p>
      <w:pPr>
        <w:pStyle w:val="Heading2"/>
      </w:pPr>
      <w:r>
        <w:t>Identity tenant and platform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schema_metadata</w:t>
            </w:r>
          </w:p>
        </w:tc>
        <w:tc>
          <w:tcPr>
            <w:tcW w:type="dxa" w:w="3672"/>
            <w:tcMar>
              <w:top w:w="105" w:type="dxa"/>
              <w:start w:w="130" w:type="dxa"/>
              <w:bottom w:w="105" w:type="dxa"/>
              <w:end w:w="130" w:type="dxa"/>
            </w:tcMar>
            <w:vAlign w:val="center"/>
          </w:tcPr>
          <w:p>
            <w:pPr>
              <w:jc w:val="left"/>
            </w:pPr>
            <w:r>
              <w:rPr>
                <w:rFonts w:ascii="Arial" w:hAnsi="Arial"/>
                <w:color w:val="171717"/>
                <w:sz w:val="16"/>
              </w:rPr>
              <w:t>Records schema identity and database-level metadata.</w:t>
            </w:r>
          </w:p>
        </w:tc>
        <w:tc>
          <w:tcPr>
            <w:tcW w:type="dxa" w:w="2232"/>
            <w:tcMar>
              <w:top w:w="105" w:type="dxa"/>
              <w:start w:w="130" w:type="dxa"/>
              <w:bottom w:w="105" w:type="dxa"/>
              <w:end w:w="130" w:type="dxa"/>
            </w:tcMar>
            <w:vAlign w:val="center"/>
          </w:tcPr>
          <w:p>
            <w:pPr>
              <w:jc w:val="left"/>
            </w:pPr>
            <w:r>
              <w:rPr>
                <w:rFonts w:ascii="Arial" w:hAnsi="Arial"/>
                <w:color w:val="171717"/>
                <w:sz w:val="16"/>
              </w:rPr>
              <w:t>singleton, schema_version, minimum_app_version</w:t>
            </w:r>
          </w:p>
        </w:tc>
        <w:tc>
          <w:tcPr>
            <w:tcW w:type="dxa" w:w="1512"/>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app_users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the global user identity shared by students staff and administrators.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display_name, email, phone_e164, password_hash, status, preferred_locale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auth_identities</w:t>
            </w:r>
          </w:p>
        </w:tc>
        <w:tc>
          <w:tcPr>
            <w:tcW w:type="dxa" w:w="3672"/>
            <w:tcMar>
              <w:top w:w="105" w:type="dxa"/>
              <w:start w:w="130" w:type="dxa"/>
              <w:bottom w:w="105" w:type="dxa"/>
              <w:end w:w="130" w:type="dxa"/>
            </w:tcMar>
            <w:vAlign w:val="center"/>
          </w:tcPr>
          <w:p>
            <w:pPr>
              <w:jc w:val="left"/>
            </w:pPr>
            <w:r>
              <w:rPr>
                <w:rFonts w:ascii="Arial" w:hAnsi="Arial"/>
                <w:color w:val="171717"/>
                <w:sz w:val="16"/>
              </w:rPr>
              <w:t>Links users to login providers and normalized external identifiers.</w:t>
            </w:r>
          </w:p>
        </w:tc>
        <w:tc>
          <w:tcPr>
            <w:tcW w:type="dxa" w:w="2232"/>
            <w:tcMar>
              <w:top w:w="105" w:type="dxa"/>
              <w:start w:w="130" w:type="dxa"/>
              <w:bottom w:w="105" w:type="dxa"/>
              <w:end w:w="130" w:type="dxa"/>
            </w:tcMar>
            <w:vAlign w:val="center"/>
          </w:tcPr>
          <w:p>
            <w:pPr>
              <w:jc w:val="left"/>
            </w:pPr>
            <w:r>
              <w:rPr>
                <w:rFonts w:ascii="Arial" w:hAnsi="Arial"/>
                <w:color w:val="171717"/>
                <w:sz w:val="16"/>
              </w:rPr>
              <w:t>user_id, provider, provider_subject, provider_metadata, last_used_at</w:t>
            </w:r>
          </w:p>
        </w:tc>
        <w:tc>
          <w:tcPr>
            <w:tcW w:type="dxa" w:w="1512"/>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user_sessions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revocable authenticated sessions and their security lifecycle.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user_id, token_hash, device_name, ip_address, user_agent, expires_at</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campuses</w:t>
            </w:r>
          </w:p>
        </w:tc>
        <w:tc>
          <w:tcPr>
            <w:tcW w:type="dxa" w:w="3672"/>
            <w:tcMar>
              <w:top w:w="105" w:type="dxa"/>
              <w:start w:w="130" w:type="dxa"/>
              <w:bottom w:w="105" w:type="dxa"/>
              <w:end w:w="130" w:type="dxa"/>
            </w:tcMar>
            <w:vAlign w:val="center"/>
          </w:tcPr>
          <w:p>
            <w:pPr>
              <w:jc w:val="left"/>
            </w:pPr>
            <w:r>
              <w:rPr>
                <w:rFonts w:ascii="Arial" w:hAnsi="Arial"/>
                <w:color w:val="171717"/>
                <w:sz w:val="16"/>
              </w:rPr>
              <w:t>Defines campuses managed by the central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code, name, legal_name, status, timezone, currency_code</w:t>
            </w:r>
          </w:p>
        </w:tc>
        <w:tc>
          <w:tcPr>
            <w:tcW w:type="dxa" w:w="1512"/>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canteen operating organizations independent of any one campus.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name, legal_name, tax_registration_number, status, support_email</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campus_canteens</w:t>
            </w:r>
          </w:p>
        </w:tc>
        <w:tc>
          <w:tcPr>
            <w:tcW w:type="dxa" w:w="3672"/>
            <w:tcMar>
              <w:top w:w="105" w:type="dxa"/>
              <w:start w:w="130" w:type="dxa"/>
              <w:bottom w:w="105" w:type="dxa"/>
              <w:end w:w="130" w:type="dxa"/>
            </w:tcMar>
            <w:vAlign w:val="center"/>
          </w:tcPr>
          <w:p>
            <w:pPr>
              <w:jc w:val="left"/>
            </w:pPr>
            <w:r>
              <w:rPr>
                <w:rFonts w:ascii="Arial" w:hAnsi="Arial"/>
                <w:color w:val="171717"/>
                <w:sz w:val="16"/>
              </w:rPr>
              <w:t>Assigns a canteen organization to a campus and anchors physical outlets.</w:t>
            </w:r>
          </w:p>
        </w:tc>
        <w:tc>
          <w:tcPr>
            <w:tcW w:type="dxa" w:w="2232"/>
            <w:tcMar>
              <w:top w:w="105" w:type="dxa"/>
              <w:start w:w="130" w:type="dxa"/>
              <w:bottom w:w="105" w:type="dxa"/>
              <w:end w:w="130" w:type="dxa"/>
            </w:tcMar>
            <w:vAlign w:val="center"/>
          </w:tcPr>
          <w:p>
            <w:pPr>
              <w:jc w:val="left"/>
            </w:pPr>
            <w:r>
              <w:rPr>
                <w:rFonts w:ascii="Arial" w:hAnsi="Arial"/>
                <w:color w:val="171717"/>
                <w:sz w:val="16"/>
              </w:rPr>
              <w:t>campus_id, canteen_id, display_name, status, starts_at, ends_at</w:t>
            </w:r>
          </w:p>
        </w:tc>
        <w:tc>
          <w:tcPr>
            <w:tcW w:type="dxa" w:w="1512"/>
            <w:tcMar>
              <w:top w:w="105" w:type="dxa"/>
              <w:start w:w="130" w:type="dxa"/>
              <w:bottom w:w="105" w:type="dxa"/>
              <w:end w:w="130" w:type="dxa"/>
            </w:tcMar>
            <w:vAlign w:val="center"/>
          </w:tcPr>
          <w:p>
            <w:pPr>
              <w:jc w:val="left"/>
            </w:pPr>
            <w:r>
              <w:rPr>
                <w:rFonts w:ascii="Arial" w:hAnsi="Arial"/>
                <w:color w:val="171717"/>
                <w:sz w:val="16"/>
              </w:rPr>
              <w:t>campuses, canteens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Represents a physical canteen outlet at a campus assignment.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campus_canteen_id, code, name, status, timezone, currency_code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campus_canteens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service_counters</w:t>
            </w:r>
          </w:p>
        </w:tc>
        <w:tc>
          <w:tcPr>
            <w:tcW w:type="dxa" w:w="3672"/>
            <w:tcMar>
              <w:top w:w="105" w:type="dxa"/>
              <w:start w:w="130" w:type="dxa"/>
              <w:bottom w:w="105" w:type="dxa"/>
              <w:end w:w="130" w:type="dxa"/>
            </w:tcMar>
            <w:vAlign w:val="center"/>
          </w:tcPr>
          <w:p>
            <w:pPr>
              <w:jc w:val="left"/>
            </w:pPr>
            <w:r>
              <w:rPr>
                <w:rFonts w:ascii="Arial" w:hAnsi="Arial"/>
                <w:color w:val="171717"/>
                <w:sz w:val="16"/>
              </w:rPr>
              <w:t>Defines pickup or service counters within an outlet.</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code, name, status, token_prefix, token_reset_timezone</w:t>
            </w:r>
          </w:p>
        </w:tc>
        <w:tc>
          <w:tcPr>
            <w:tcW w:type="dxa" w:w="1512"/>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pos_terminals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Registers POS devices and binds them to outlet and counter scope.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counter_id, code, name, device_fingerprint_hash,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service_counters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student_profiles</w:t>
            </w:r>
          </w:p>
        </w:tc>
        <w:tc>
          <w:tcPr>
            <w:tcW w:type="dxa" w:w="3672"/>
            <w:tcMar>
              <w:top w:w="105" w:type="dxa"/>
              <w:start w:w="130" w:type="dxa"/>
              <w:bottom w:w="105" w:type="dxa"/>
              <w:end w:w="130" w:type="dxa"/>
            </w:tcMar>
            <w:vAlign w:val="center"/>
          </w:tcPr>
          <w:p>
            <w:pPr>
              <w:jc w:val="left"/>
            </w:pPr>
            <w:r>
              <w:rPr>
                <w:rFonts w:ascii="Arial" w:hAnsi="Arial"/>
                <w:color w:val="171717"/>
                <w:sz w:val="16"/>
              </w:rPr>
              <w:t>Adds student-specific attributes to the global user account.</w:t>
            </w:r>
          </w:p>
        </w:tc>
        <w:tc>
          <w:tcPr>
            <w:tcW w:type="dxa" w:w="2232"/>
            <w:tcMar>
              <w:top w:w="105" w:type="dxa"/>
              <w:start w:w="130" w:type="dxa"/>
              <w:bottom w:w="105" w:type="dxa"/>
              <w:end w:w="130" w:type="dxa"/>
            </w:tcMar>
            <w:vAlign w:val="center"/>
          </w:tcPr>
          <w:p>
            <w:pPr>
              <w:jc w:val="left"/>
            </w:pPr>
            <w:r>
              <w:rPr>
                <w:rFonts w:ascii="Arial" w:hAnsi="Arial"/>
                <w:color w:val="171717"/>
                <w:sz w:val="16"/>
              </w:rPr>
              <w:t>user_id, student_number, date_of_birth, dietary_preferences, marketing_opt_in</w:t>
            </w:r>
          </w:p>
        </w:tc>
        <w:tc>
          <w:tcPr>
            <w:tcW w:type="dxa" w:w="1512"/>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student_campus_memberships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Tracks student association or verification for a campus.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student_user_id, campus_id, campus_student_identifier, status, verified_at, valid_until</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student_profiles, campuses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roles</w:t>
            </w:r>
          </w:p>
        </w:tc>
        <w:tc>
          <w:tcPr>
            <w:tcW w:type="dxa" w:w="3672"/>
            <w:tcMar>
              <w:top w:w="105" w:type="dxa"/>
              <w:start w:w="130" w:type="dxa"/>
              <w:bottom w:w="105" w:type="dxa"/>
              <w:end w:w="130" w:type="dxa"/>
            </w:tcMar>
            <w:vAlign w:val="center"/>
          </w:tcPr>
          <w:p>
            <w:pPr>
              <w:jc w:val="left"/>
            </w:pPr>
            <w:r>
              <w:rPr>
                <w:rFonts w:ascii="Arial" w:hAnsi="Arial"/>
                <w:color w:val="171717"/>
                <w:sz w:val="16"/>
              </w:rPr>
              <w:t>Stores roles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code, name, scope_type, is_system</w:t>
            </w:r>
          </w:p>
        </w:tc>
        <w:tc>
          <w:tcPr>
            <w:tcW w:type="dxa" w:w="1512"/>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permissions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permissions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description, risk_level</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role_permissions</w:t>
            </w:r>
          </w:p>
        </w:tc>
        <w:tc>
          <w:tcPr>
            <w:tcW w:type="dxa" w:w="3672"/>
            <w:tcMar>
              <w:top w:w="105" w:type="dxa"/>
              <w:start w:w="130" w:type="dxa"/>
              <w:bottom w:w="105" w:type="dxa"/>
              <w:end w:w="130" w:type="dxa"/>
            </w:tcMar>
            <w:vAlign w:val="center"/>
          </w:tcPr>
          <w:p>
            <w:pPr>
              <w:jc w:val="left"/>
            </w:pPr>
            <w:r>
              <w:rPr>
                <w:rFonts w:ascii="Arial" w:hAnsi="Arial"/>
                <w:color w:val="171717"/>
                <w:sz w:val="16"/>
              </w:rPr>
              <w:t>Stores role permissions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role_id, permission_code</w:t>
            </w:r>
          </w:p>
        </w:tc>
        <w:tc>
          <w:tcPr>
            <w:tcW w:type="dxa" w:w="1512"/>
            <w:tcMar>
              <w:top w:w="105" w:type="dxa"/>
              <w:start w:w="130" w:type="dxa"/>
              <w:bottom w:w="105" w:type="dxa"/>
              <w:end w:w="130" w:type="dxa"/>
            </w:tcMar>
            <w:vAlign w:val="center"/>
          </w:tcPr>
          <w:p>
            <w:pPr>
              <w:jc w:val="left"/>
            </w:pPr>
            <w:r>
              <w:rPr>
                <w:rFonts w:ascii="Arial" w:hAnsi="Arial"/>
                <w:color w:val="171717"/>
                <w:sz w:val="16"/>
              </w:rPr>
              <w:t>roles, permissions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access_memberships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Grants a user membership at platform campus canteen or outlet scope.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user_id, scope_type, campus_id, canteen_id, outlet_id, employee_code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 campuses, canteens, 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membership_roles</w:t>
            </w:r>
          </w:p>
        </w:tc>
        <w:tc>
          <w:tcPr>
            <w:tcW w:type="dxa" w:w="3672"/>
            <w:tcMar>
              <w:top w:w="105" w:type="dxa"/>
              <w:start w:w="130" w:type="dxa"/>
              <w:bottom w:w="105" w:type="dxa"/>
              <w:end w:w="130" w:type="dxa"/>
            </w:tcMar>
            <w:vAlign w:val="center"/>
          </w:tcPr>
          <w:p>
            <w:pPr>
              <w:jc w:val="left"/>
            </w:pPr>
            <w:r>
              <w:rPr>
                <w:rFonts w:ascii="Arial" w:hAnsi="Arial"/>
                <w:color w:val="171717"/>
                <w:sz w:val="16"/>
              </w:rPr>
              <w:t>Assigns scoped roles to access memberships.</w:t>
            </w:r>
          </w:p>
        </w:tc>
        <w:tc>
          <w:tcPr>
            <w:tcW w:type="dxa" w:w="2232"/>
            <w:tcMar>
              <w:top w:w="105" w:type="dxa"/>
              <w:start w:w="130" w:type="dxa"/>
              <w:bottom w:w="105" w:type="dxa"/>
              <w:end w:w="130" w:type="dxa"/>
            </w:tcMar>
            <w:vAlign w:val="center"/>
          </w:tcPr>
          <w:p>
            <w:pPr>
              <w:jc w:val="left"/>
            </w:pPr>
            <w:r>
              <w:rPr>
                <w:rFonts w:ascii="Arial" w:hAnsi="Arial"/>
                <w:color w:val="171717"/>
                <w:sz w:val="16"/>
              </w:rPr>
              <w:t>membership_id, role_id, assigned_by, assigned_at</w:t>
            </w:r>
          </w:p>
        </w:tc>
        <w:tc>
          <w:tcPr>
            <w:tcW w:type="dxa" w:w="1512"/>
            <w:tcMar>
              <w:top w:w="105" w:type="dxa"/>
              <w:start w:w="130" w:type="dxa"/>
              <w:bottom w:w="105" w:type="dxa"/>
              <w:end w:w="130" w:type="dxa"/>
            </w:tcMar>
            <w:vAlign w:val="center"/>
          </w:tcPr>
          <w:p>
            <w:pPr>
              <w:jc w:val="left"/>
            </w:pPr>
            <w:r>
              <w:rPr>
                <w:rFonts w:ascii="Arial" w:hAnsi="Arial"/>
                <w:color w:val="171717"/>
                <w:sz w:val="16"/>
              </w:rPr>
              <w:t>access_memberships, roles,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feature_definitions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feature definitions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name, description, default_enabled, configuration_schema</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canteen_features</w:t>
            </w:r>
          </w:p>
        </w:tc>
        <w:tc>
          <w:tcPr>
            <w:tcW w:type="dxa" w:w="3672"/>
            <w:tcMar>
              <w:top w:w="105" w:type="dxa"/>
              <w:start w:w="130" w:type="dxa"/>
              <w:bottom w:w="105" w:type="dxa"/>
              <w:end w:w="130" w:type="dxa"/>
            </w:tcMar>
            <w:vAlign w:val="center"/>
          </w:tcPr>
          <w:p>
            <w:pPr>
              <w:jc w:val="left"/>
            </w:pPr>
            <w:r>
              <w:rPr>
                <w:rFonts w:ascii="Arial" w:hAnsi="Arial"/>
                <w:color w:val="171717"/>
                <w:sz w:val="16"/>
              </w:rPr>
              <w:t>Controls optional capabilities independently for each canteen.</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feature_code, enabled, configuration, effective_from, effective_until</w:t>
            </w:r>
          </w:p>
        </w:tc>
        <w:tc>
          <w:tcPr>
            <w:tcW w:type="dxa" w:w="1512"/>
            <w:tcMar>
              <w:top w:w="105" w:type="dxa"/>
              <w:start w:w="130" w:type="dxa"/>
              <w:bottom w:w="105" w:type="dxa"/>
              <w:end w:w="130" w:type="dxa"/>
            </w:tcMar>
            <w:vAlign w:val="center"/>
          </w:tcPr>
          <w:p>
            <w:pPr>
              <w:jc w:val="left"/>
            </w:pPr>
            <w:r>
              <w:rPr>
                <w:rFonts w:ascii="Arial" w:hAnsi="Arial"/>
                <w:color w:val="171717"/>
                <w:sz w:val="16"/>
              </w:rPr>
              <w:t>canteens, feature_definitions,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platform_settings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scoped configuration for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key, value, is_public, schema_version, updated_by</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campus_settings</w:t>
            </w:r>
          </w:p>
        </w:tc>
        <w:tc>
          <w:tcPr>
            <w:tcW w:type="dxa" w:w="3672"/>
            <w:tcMar>
              <w:top w:w="105" w:type="dxa"/>
              <w:start w:w="130" w:type="dxa"/>
              <w:bottom w:w="105" w:type="dxa"/>
              <w:end w:w="130" w:type="dxa"/>
            </w:tcMar>
            <w:vAlign w:val="center"/>
          </w:tcPr>
          <w:p>
            <w:pPr>
              <w:jc w:val="left"/>
            </w:pPr>
            <w:r>
              <w:rPr>
                <w:rFonts w:ascii="Arial" w:hAnsi="Arial"/>
                <w:color w:val="171717"/>
                <w:sz w:val="16"/>
              </w:rPr>
              <w:t>Stores scoped configuration for campus.</w:t>
            </w:r>
          </w:p>
        </w:tc>
        <w:tc>
          <w:tcPr>
            <w:tcW w:type="dxa" w:w="2232"/>
            <w:tcMar>
              <w:top w:w="105" w:type="dxa"/>
              <w:start w:w="130" w:type="dxa"/>
              <w:bottom w:w="105" w:type="dxa"/>
              <w:end w:w="130" w:type="dxa"/>
            </w:tcMar>
            <w:vAlign w:val="center"/>
          </w:tcPr>
          <w:p>
            <w:pPr>
              <w:jc w:val="left"/>
            </w:pPr>
            <w:r>
              <w:rPr>
                <w:rFonts w:ascii="Arial" w:hAnsi="Arial"/>
                <w:color w:val="171717"/>
                <w:sz w:val="16"/>
              </w:rPr>
              <w:t>campus_id, key, value, is_public, schema_version, updated_by</w:t>
            </w:r>
          </w:p>
        </w:tc>
        <w:tc>
          <w:tcPr>
            <w:tcW w:type="dxa" w:w="1512"/>
            <w:tcMar>
              <w:top w:w="105" w:type="dxa"/>
              <w:start w:w="130" w:type="dxa"/>
              <w:bottom w:w="105" w:type="dxa"/>
              <w:end w:w="130" w:type="dxa"/>
            </w:tcMar>
            <w:vAlign w:val="center"/>
          </w:tcPr>
          <w:p>
            <w:pPr>
              <w:jc w:val="left"/>
            </w:pPr>
            <w:r>
              <w:rPr>
                <w:rFonts w:ascii="Arial" w:hAnsi="Arial"/>
                <w:color w:val="171717"/>
                <w:sz w:val="16"/>
              </w:rPr>
              <w:t>campuses,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canteen_settings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scoped configuration for canteen.</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key, value, is_public, schema_version, updated_by</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outlet_settings</w:t>
            </w:r>
          </w:p>
        </w:tc>
        <w:tc>
          <w:tcPr>
            <w:tcW w:type="dxa" w:w="3672"/>
            <w:tcMar>
              <w:top w:w="105" w:type="dxa"/>
              <w:start w:w="130" w:type="dxa"/>
              <w:bottom w:w="105" w:type="dxa"/>
              <w:end w:w="130" w:type="dxa"/>
            </w:tcMar>
            <w:vAlign w:val="center"/>
          </w:tcPr>
          <w:p>
            <w:pPr>
              <w:jc w:val="left"/>
            </w:pPr>
            <w:r>
              <w:rPr>
                <w:rFonts w:ascii="Arial" w:hAnsi="Arial"/>
                <w:color w:val="171717"/>
                <w:sz w:val="16"/>
              </w:rPr>
              <w:t>Stores scoped configuration for outlet.</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key, value, is_public, schema_version, updated_by</w:t>
            </w:r>
          </w:p>
        </w:tc>
        <w:tc>
          <w:tcPr>
            <w:tcW w:type="dxa" w:w="1512"/>
            <w:tcMar>
              <w:top w:w="105" w:type="dxa"/>
              <w:start w:w="130" w:type="dxa"/>
              <w:bottom w:w="105" w:type="dxa"/>
              <w:end w:w="130" w:type="dxa"/>
            </w:tcMar>
            <w:vAlign w:val="center"/>
          </w:tcPr>
          <w:p>
            <w:pPr>
              <w:jc w:val="left"/>
            </w:pPr>
            <w:r>
              <w:rPr>
                <w:rFonts w:ascii="Arial" w:hAnsi="Arial"/>
                <w:color w:val="171717"/>
                <w:sz w:val="16"/>
              </w:rPr>
              <w:t>outlets,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outlet_business_hours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outlet business hours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day_of_week, service_type, opens_at, closes_at, ordering_opens_minutes_before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outlet_closures</w:t>
            </w:r>
          </w:p>
        </w:tc>
        <w:tc>
          <w:tcPr>
            <w:tcW w:type="dxa" w:w="3672"/>
            <w:tcMar>
              <w:top w:w="105" w:type="dxa"/>
              <w:start w:w="130" w:type="dxa"/>
              <w:bottom w:w="105" w:type="dxa"/>
              <w:end w:w="130" w:type="dxa"/>
            </w:tcMar>
            <w:vAlign w:val="center"/>
          </w:tcPr>
          <w:p>
            <w:pPr>
              <w:jc w:val="left"/>
            </w:pPr>
            <w:r>
              <w:rPr>
                <w:rFonts w:ascii="Arial" w:hAnsi="Arial"/>
                <w:color w:val="171717"/>
                <w:sz w:val="16"/>
              </w:rPr>
              <w:t>Stores outlet closures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starts_at, ends_at, reason, created_by</w:t>
            </w:r>
          </w:p>
        </w:tc>
        <w:tc>
          <w:tcPr>
            <w:tcW w:type="dxa" w:w="1512"/>
            <w:tcMar>
              <w:top w:w="105" w:type="dxa"/>
              <w:start w:w="130" w:type="dxa"/>
              <w:bottom w:w="105" w:type="dxa"/>
              <w:end w:w="130" w:type="dxa"/>
            </w:tcMar>
            <w:vAlign w:val="center"/>
          </w:tcPr>
          <w:p>
            <w:pPr>
              <w:jc w:val="left"/>
            </w:pPr>
            <w:r>
              <w:rPr>
                <w:rFonts w:ascii="Arial" w:hAnsi="Arial"/>
                <w:color w:val="171717"/>
                <w:sz w:val="16"/>
              </w:rPr>
              <w:t>outlets, app_users</w:t>
            </w:r>
          </w:p>
        </w:tc>
      </w:tr>
    </w:tbl>
    <w:p>
      <w:pPr>
        <w:spacing w:after="20"/>
      </w:pPr>
    </w:p>
    <w:p>
      <w:pPr>
        <w:pStyle w:val="Heading2"/>
      </w:pPr>
      <w:r>
        <w:t>Catalog pricing tax and inventory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media_assets</w:t>
            </w:r>
          </w:p>
        </w:tc>
        <w:tc>
          <w:tcPr>
            <w:tcW w:type="dxa" w:w="3672"/>
            <w:tcMar>
              <w:top w:w="105" w:type="dxa"/>
              <w:start w:w="130" w:type="dxa"/>
              <w:bottom w:w="105" w:type="dxa"/>
              <w:end w:w="130" w:type="dxa"/>
            </w:tcMar>
            <w:vAlign w:val="center"/>
          </w:tcPr>
          <w:p>
            <w:pPr>
              <w:jc w:val="left"/>
            </w:pPr>
            <w:r>
              <w:rPr>
                <w:rFonts w:ascii="Arial" w:hAnsi="Arial"/>
                <w:color w:val="171717"/>
                <w:sz w:val="16"/>
              </w:rPr>
              <w:t>Stores media assets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storage_key, public_url, mime_type, byte_size, width_px</w:t>
            </w:r>
          </w:p>
        </w:tc>
        <w:tc>
          <w:tcPr>
            <w:tcW w:type="dxa" w:w="1512"/>
            <w:tcMar>
              <w:top w:w="105" w:type="dxa"/>
              <w:start w:w="130" w:type="dxa"/>
              <w:bottom w:w="105" w:type="dxa"/>
              <w:end w:w="130" w:type="dxa"/>
            </w:tcMar>
            <w:vAlign w:val="center"/>
          </w:tcPr>
          <w:p>
            <w:pPr>
              <w:jc w:val="left"/>
            </w:pPr>
            <w:r>
              <w:rPr>
                <w:rFonts w:ascii="Arial" w:hAnsi="Arial"/>
                <w:color w:val="171717"/>
                <w:sz w:val="16"/>
              </w:rPr>
              <w:t>canteens,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menus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canteen menus and their publication lifecycle.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code, name, description, status, sort_order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media_assets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menu_outlets</w:t>
            </w:r>
          </w:p>
        </w:tc>
        <w:tc>
          <w:tcPr>
            <w:tcW w:type="dxa" w:w="3672"/>
            <w:tcMar>
              <w:top w:w="105" w:type="dxa"/>
              <w:start w:w="130" w:type="dxa"/>
              <w:bottom w:w="105" w:type="dxa"/>
              <w:end w:w="130" w:type="dxa"/>
            </w:tcMar>
            <w:vAlign w:val="center"/>
          </w:tcPr>
          <w:p>
            <w:pPr>
              <w:jc w:val="left"/>
            </w:pPr>
            <w:r>
              <w:rPr>
                <w:rFonts w:ascii="Arial" w:hAnsi="Arial"/>
                <w:color w:val="171717"/>
                <w:sz w:val="16"/>
              </w:rPr>
              <w:t>Publishes a menu to one or more permitted outlets.</w:t>
            </w:r>
          </w:p>
        </w:tc>
        <w:tc>
          <w:tcPr>
            <w:tcW w:type="dxa" w:w="2232"/>
            <w:tcMar>
              <w:top w:w="105" w:type="dxa"/>
              <w:start w:w="130" w:type="dxa"/>
              <w:bottom w:w="105" w:type="dxa"/>
              <w:end w:w="130" w:type="dxa"/>
            </w:tcMar>
            <w:vAlign w:val="center"/>
          </w:tcPr>
          <w:p>
            <w:pPr>
              <w:jc w:val="left"/>
            </w:pPr>
            <w:r>
              <w:rPr>
                <w:rFonts w:ascii="Arial" w:hAnsi="Arial"/>
                <w:color w:val="171717"/>
                <w:sz w:val="16"/>
              </w:rPr>
              <w:t>menu_id, outlet_id, is_active, sort_order</w:t>
            </w:r>
          </w:p>
        </w:tc>
        <w:tc>
          <w:tcPr>
            <w:tcW w:type="dxa" w:w="1512"/>
            <w:tcMar>
              <w:top w:w="105" w:type="dxa"/>
              <w:start w:w="130" w:type="dxa"/>
              <w:bottom w:w="105" w:type="dxa"/>
              <w:end w:w="130" w:type="dxa"/>
            </w:tcMar>
            <w:vAlign w:val="center"/>
          </w:tcPr>
          <w:p>
            <w:pPr>
              <w:jc w:val="left"/>
            </w:pPr>
            <w:r>
              <w:rPr>
                <w:rFonts w:ascii="Arial" w:hAnsi="Arial"/>
                <w:color w:val="171717"/>
                <w:sz w:val="16"/>
              </w:rPr>
              <w:t>menus, 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menu_schedules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menu schedules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menu_id, outlet_id, day_of_week, starts_at, ends_at, valid_from</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menus, 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catalog_categories</w:t>
            </w:r>
          </w:p>
        </w:tc>
        <w:tc>
          <w:tcPr>
            <w:tcW w:type="dxa" w:w="3672"/>
            <w:tcMar>
              <w:top w:w="105" w:type="dxa"/>
              <w:start w:w="130" w:type="dxa"/>
              <w:bottom w:w="105" w:type="dxa"/>
              <w:end w:w="130" w:type="dxa"/>
            </w:tcMar>
            <w:vAlign w:val="center"/>
          </w:tcPr>
          <w:p>
            <w:pPr>
              <w:jc w:val="left"/>
            </w:pPr>
            <w:r>
              <w:rPr>
                <w:rFonts w:ascii="Arial" w:hAnsi="Arial"/>
                <w:color w:val="171717"/>
                <w:sz w:val="16"/>
              </w:rPr>
              <w:t>Stores hierarchical food and beverage categories.</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parent_id, code, name, description, image_asset_id</w:t>
            </w:r>
          </w:p>
        </w:tc>
        <w:tc>
          <w:tcPr>
            <w:tcW w:type="dxa" w:w="1512"/>
            <w:tcMar>
              <w:top w:w="105" w:type="dxa"/>
              <w:start w:w="130" w:type="dxa"/>
              <w:bottom w:w="105" w:type="dxa"/>
              <w:end w:w="130" w:type="dxa"/>
            </w:tcMar>
            <w:vAlign w:val="center"/>
          </w:tcPr>
          <w:p>
            <w:pPr>
              <w:jc w:val="left"/>
            </w:pPr>
            <w:r>
              <w:rPr>
                <w:rFonts w:ascii="Arial" w:hAnsi="Arial"/>
                <w:color w:val="171717"/>
                <w:sz w:val="16"/>
              </w:rPr>
              <w:t>canteens, catalog_categories, media_assets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menu_categories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menu categories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menu_id, category_id, sort_order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menus, catalog_categories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tax_categories</w:t>
            </w:r>
          </w:p>
        </w:tc>
        <w:tc>
          <w:tcPr>
            <w:tcW w:type="dxa" w:w="3672"/>
            <w:tcMar>
              <w:top w:w="105" w:type="dxa"/>
              <w:start w:w="130" w:type="dxa"/>
              <w:bottom w:w="105" w:type="dxa"/>
              <w:end w:w="130" w:type="dxa"/>
            </w:tcMar>
            <w:vAlign w:val="center"/>
          </w:tcPr>
          <w:p>
            <w:pPr>
              <w:jc w:val="left"/>
            </w:pPr>
            <w:r>
              <w:rPr>
                <w:rFonts w:ascii="Arial" w:hAnsi="Arial"/>
                <w:color w:val="171717"/>
                <w:sz w:val="16"/>
              </w:rPr>
              <w:t>Groups catalog items into tax treatment categories.</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code, name, description</w:t>
            </w:r>
          </w:p>
        </w:tc>
        <w:tc>
          <w:tcPr>
            <w:tcW w:type="dxa" w:w="1512"/>
            <w:tcMar>
              <w:top w:w="105" w:type="dxa"/>
              <w:start w:w="130" w:type="dxa"/>
              <w:bottom w:w="105" w:type="dxa"/>
              <w:end w:w="130" w:type="dxa"/>
            </w:tcMar>
            <w:vAlign w:val="center"/>
          </w:tcPr>
          <w:p>
            <w:pPr>
              <w:jc w:val="left"/>
            </w:pPr>
            <w:r>
              <w:rPr>
                <w:rFonts w:ascii="Arial" w:hAnsi="Arial"/>
                <w:color w:val="171717"/>
                <w:sz w:val="16"/>
              </w:rPr>
              <w:t>canteens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tax_rates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effective-dated tax components including inclusive and compound rules.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code, name, authority, rate_basis_points, price_inclusive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tax_category_rates</w:t>
            </w:r>
          </w:p>
        </w:tc>
        <w:tc>
          <w:tcPr>
            <w:tcW w:type="dxa" w:w="3672"/>
            <w:tcMar>
              <w:top w:w="105" w:type="dxa"/>
              <w:start w:w="130" w:type="dxa"/>
              <w:bottom w:w="105" w:type="dxa"/>
              <w:end w:w="130" w:type="dxa"/>
            </w:tcMar>
            <w:vAlign w:val="center"/>
          </w:tcPr>
          <w:p>
            <w:pPr>
              <w:jc w:val="left"/>
            </w:pPr>
            <w:r>
              <w:rPr>
                <w:rFonts w:ascii="Arial" w:hAnsi="Arial"/>
                <w:color w:val="171717"/>
                <w:sz w:val="16"/>
              </w:rPr>
              <w:t>Maps tax categories to their component rates.</w:t>
            </w:r>
          </w:p>
        </w:tc>
        <w:tc>
          <w:tcPr>
            <w:tcW w:type="dxa" w:w="2232"/>
            <w:tcMar>
              <w:top w:w="105" w:type="dxa"/>
              <w:start w:w="130" w:type="dxa"/>
              <w:bottom w:w="105" w:type="dxa"/>
              <w:end w:w="130" w:type="dxa"/>
            </w:tcMar>
            <w:vAlign w:val="center"/>
          </w:tcPr>
          <w:p>
            <w:pPr>
              <w:jc w:val="left"/>
            </w:pPr>
            <w:r>
              <w:rPr>
                <w:rFonts w:ascii="Arial" w:hAnsi="Arial"/>
                <w:color w:val="171717"/>
                <w:sz w:val="16"/>
              </w:rPr>
              <w:t>tax_category_id, tax_rate_id</w:t>
            </w:r>
          </w:p>
        </w:tc>
        <w:tc>
          <w:tcPr>
            <w:tcW w:type="dxa" w:w="1512"/>
            <w:tcMar>
              <w:top w:w="105" w:type="dxa"/>
              <w:start w:w="130" w:type="dxa"/>
              <w:bottom w:w="105" w:type="dxa"/>
              <w:end w:w="130" w:type="dxa"/>
            </w:tcMar>
            <w:vAlign w:val="center"/>
          </w:tcPr>
          <w:p>
            <w:pPr>
              <w:jc w:val="left"/>
            </w:pPr>
            <w:r>
              <w:rPr>
                <w:rFonts w:ascii="Arial" w:hAnsi="Arial"/>
                <w:color w:val="171717"/>
                <w:sz w:val="16"/>
              </w:rPr>
              <w:t>tax_categories, tax_rates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catalog_items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canonical sellable items and their food metadata.</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primary_category_id, tax_category_id, sku, name, short_description</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catalog_categories, tax_categories, media_assets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catalog_item_categories</w:t>
            </w:r>
          </w:p>
        </w:tc>
        <w:tc>
          <w:tcPr>
            <w:tcW w:type="dxa" w:w="3672"/>
            <w:tcMar>
              <w:top w:w="105" w:type="dxa"/>
              <w:start w:w="130" w:type="dxa"/>
              <w:bottom w:w="105" w:type="dxa"/>
              <w:end w:w="130" w:type="dxa"/>
            </w:tcMar>
            <w:vAlign w:val="center"/>
          </w:tcPr>
          <w:p>
            <w:pPr>
              <w:jc w:val="left"/>
            </w:pPr>
            <w:r>
              <w:rPr>
                <w:rFonts w:ascii="Arial" w:hAnsi="Arial"/>
                <w:color w:val="171717"/>
                <w:sz w:val="16"/>
              </w:rPr>
              <w:t>Stores catalog item categories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item_id, category_id</w:t>
            </w:r>
          </w:p>
        </w:tc>
        <w:tc>
          <w:tcPr>
            <w:tcW w:type="dxa" w:w="1512"/>
            <w:tcMar>
              <w:top w:w="105" w:type="dxa"/>
              <w:start w:w="130" w:type="dxa"/>
              <w:bottom w:w="105" w:type="dxa"/>
              <w:end w:w="130" w:type="dxa"/>
            </w:tcMar>
            <w:vAlign w:val="center"/>
          </w:tcPr>
          <w:p>
            <w:pPr>
              <w:jc w:val="left"/>
            </w:pPr>
            <w:r>
              <w:rPr>
                <w:rFonts w:ascii="Arial" w:hAnsi="Arial"/>
                <w:color w:val="171717"/>
                <w:sz w:val="16"/>
              </w:rPr>
              <w:t>catalog_items, catalog_categories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item_variants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sizes or other sellable variants including the default variant.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item_id, sku, name, price_minor, is_default,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catalog_items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modifier_groups</w:t>
            </w:r>
          </w:p>
        </w:tc>
        <w:tc>
          <w:tcPr>
            <w:tcW w:type="dxa" w:w="3672"/>
            <w:tcMar>
              <w:top w:w="105" w:type="dxa"/>
              <w:start w:w="130" w:type="dxa"/>
              <w:bottom w:w="105" w:type="dxa"/>
              <w:end w:w="130" w:type="dxa"/>
            </w:tcMar>
            <w:vAlign w:val="center"/>
          </w:tcPr>
          <w:p>
            <w:pPr>
              <w:jc w:val="left"/>
            </w:pPr>
            <w:r>
              <w:rPr>
                <w:rFonts w:ascii="Arial" w:hAnsi="Arial"/>
                <w:color w:val="171717"/>
                <w:sz w:val="16"/>
              </w:rPr>
              <w:t>Defines add-on groups with selection and quantity rules.</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code, name, description, minimum_selections, maximum_selections</w:t>
            </w:r>
          </w:p>
        </w:tc>
        <w:tc>
          <w:tcPr>
            <w:tcW w:type="dxa" w:w="1512"/>
            <w:tcMar>
              <w:top w:w="105" w:type="dxa"/>
              <w:start w:w="130" w:type="dxa"/>
              <w:bottom w:w="105" w:type="dxa"/>
              <w:end w:w="130" w:type="dxa"/>
            </w:tcMar>
            <w:vAlign w:val="center"/>
          </w:tcPr>
          <w:p>
            <w:pPr>
              <w:jc w:val="left"/>
            </w:pPr>
            <w:r>
              <w:rPr>
                <w:rFonts w:ascii="Arial" w:hAnsi="Arial"/>
                <w:color w:val="171717"/>
                <w:sz w:val="16"/>
              </w:rPr>
              <w:t>canteens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modifier_options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individual add-ons and their incremental price.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modifier_group_id, code, name, price_delta_minor, is_default,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modifier_groups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item_modifier_groups</w:t>
            </w:r>
          </w:p>
        </w:tc>
        <w:tc>
          <w:tcPr>
            <w:tcW w:type="dxa" w:w="3672"/>
            <w:tcMar>
              <w:top w:w="105" w:type="dxa"/>
              <w:start w:w="130" w:type="dxa"/>
              <w:bottom w:w="105" w:type="dxa"/>
              <w:end w:w="130" w:type="dxa"/>
            </w:tcMar>
            <w:vAlign w:val="center"/>
          </w:tcPr>
          <w:p>
            <w:pPr>
              <w:jc w:val="left"/>
            </w:pPr>
            <w:r>
              <w:rPr>
                <w:rFonts w:ascii="Arial" w:hAnsi="Arial"/>
                <w:color w:val="171717"/>
                <w:sz w:val="16"/>
              </w:rPr>
              <w:t>Assigns valid add-on groups to an item or a specific variant.</w:t>
            </w:r>
          </w:p>
        </w:tc>
        <w:tc>
          <w:tcPr>
            <w:tcW w:type="dxa" w:w="2232"/>
            <w:tcMar>
              <w:top w:w="105" w:type="dxa"/>
              <w:start w:w="130" w:type="dxa"/>
              <w:bottom w:w="105" w:type="dxa"/>
              <w:end w:w="130" w:type="dxa"/>
            </w:tcMar>
            <w:vAlign w:val="center"/>
          </w:tcPr>
          <w:p>
            <w:pPr>
              <w:jc w:val="left"/>
            </w:pPr>
            <w:r>
              <w:rPr>
                <w:rFonts w:ascii="Arial" w:hAnsi="Arial"/>
                <w:color w:val="171717"/>
                <w:sz w:val="16"/>
              </w:rPr>
              <w:t>item_id, variant_id, modifier_group_id, minimum_override, maximum_override, sort_order</w:t>
            </w:r>
          </w:p>
        </w:tc>
        <w:tc>
          <w:tcPr>
            <w:tcW w:type="dxa" w:w="1512"/>
            <w:tcMar>
              <w:top w:w="105" w:type="dxa"/>
              <w:start w:w="130" w:type="dxa"/>
              <w:bottom w:w="105" w:type="dxa"/>
              <w:end w:w="130" w:type="dxa"/>
            </w:tcMar>
            <w:vAlign w:val="center"/>
          </w:tcPr>
          <w:p>
            <w:pPr>
              <w:jc w:val="left"/>
            </w:pPr>
            <w:r>
              <w:rPr>
                <w:rFonts w:ascii="Arial" w:hAnsi="Arial"/>
                <w:color w:val="171717"/>
                <w:sz w:val="16"/>
              </w:rPr>
              <w:t>catalog_items, item_variants, modifier_groups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outlet_item_settings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Overrides item price availability and sold-out state per outlet.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item_id, is_available, is_visible_student, is_visible_pos, price_override_minor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catalog_items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outlet_variant_settings</w:t>
            </w:r>
          </w:p>
        </w:tc>
        <w:tc>
          <w:tcPr>
            <w:tcW w:type="dxa" w:w="3672"/>
            <w:tcMar>
              <w:top w:w="105" w:type="dxa"/>
              <w:start w:w="130" w:type="dxa"/>
              <w:bottom w:w="105" w:type="dxa"/>
              <w:end w:w="130" w:type="dxa"/>
            </w:tcMar>
            <w:vAlign w:val="center"/>
          </w:tcPr>
          <w:p>
            <w:pPr>
              <w:jc w:val="left"/>
            </w:pPr>
            <w:r>
              <w:rPr>
                <w:rFonts w:ascii="Arial" w:hAnsi="Arial"/>
                <w:color w:val="171717"/>
                <w:sz w:val="16"/>
              </w:rPr>
              <w:t>Overrides variant price and availability per outlet.</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variant_id, is_available, price_override_minor, sold_out_until</w:t>
            </w:r>
          </w:p>
        </w:tc>
        <w:tc>
          <w:tcPr>
            <w:tcW w:type="dxa" w:w="1512"/>
            <w:tcMar>
              <w:top w:w="105" w:type="dxa"/>
              <w:start w:w="130" w:type="dxa"/>
              <w:bottom w:w="105" w:type="dxa"/>
              <w:end w:w="130" w:type="dxa"/>
            </w:tcMar>
            <w:vAlign w:val="center"/>
          </w:tcPr>
          <w:p>
            <w:pPr>
              <w:jc w:val="left"/>
            </w:pPr>
            <w:r>
              <w:rPr>
                <w:rFonts w:ascii="Arial" w:hAnsi="Arial"/>
                <w:color w:val="171717"/>
                <w:sz w:val="16"/>
              </w:rPr>
              <w:t>outlets, item_variants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price_rules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scheduled channel-aware and outlet-aware price adjustments.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outlet_id, item_id, variant_id, channel, price_minor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outlets, catalog_items, item_variants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service_charges</w:t>
            </w:r>
          </w:p>
        </w:tc>
        <w:tc>
          <w:tcPr>
            <w:tcW w:type="dxa" w:w="3672"/>
            <w:tcMar>
              <w:top w:w="105" w:type="dxa"/>
              <w:start w:w="130" w:type="dxa"/>
              <w:bottom w:w="105" w:type="dxa"/>
              <w:end w:w="130" w:type="dxa"/>
            </w:tcMar>
            <w:vAlign w:val="center"/>
          </w:tcPr>
          <w:p>
            <w:pPr>
              <w:jc w:val="left"/>
            </w:pPr>
            <w:r>
              <w:rPr>
                <w:rFonts w:ascii="Arial" w:hAnsi="Arial"/>
                <w:color w:val="171717"/>
                <w:sz w:val="16"/>
              </w:rPr>
              <w:t>Stores fixed or percentage service charges by scope and channel.</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code, name, calculation_type, amount_minor, rate_basis_points</w:t>
            </w:r>
          </w:p>
        </w:tc>
        <w:tc>
          <w:tcPr>
            <w:tcW w:type="dxa" w:w="1512"/>
            <w:tcMar>
              <w:top w:w="105" w:type="dxa"/>
              <w:start w:w="130" w:type="dxa"/>
              <w:bottom w:w="105" w:type="dxa"/>
              <w:end w:w="130" w:type="dxa"/>
            </w:tcMar>
            <w:vAlign w:val="center"/>
          </w:tcPr>
          <w:p>
            <w:pPr>
              <w:jc w:val="left"/>
            </w:pPr>
            <w:r>
              <w:rPr>
                <w:rFonts w:ascii="Arial" w:hAnsi="Arial"/>
                <w:color w:val="171717"/>
                <w:sz w:val="16"/>
              </w:rPr>
              <w:t>canteens, tax_categories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allergens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allergens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name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item_allergens</w:t>
            </w:r>
          </w:p>
        </w:tc>
        <w:tc>
          <w:tcPr>
            <w:tcW w:type="dxa" w:w="3672"/>
            <w:tcMar>
              <w:top w:w="105" w:type="dxa"/>
              <w:start w:w="130" w:type="dxa"/>
              <w:bottom w:w="105" w:type="dxa"/>
              <w:end w:w="130" w:type="dxa"/>
            </w:tcMar>
            <w:vAlign w:val="center"/>
          </w:tcPr>
          <w:p>
            <w:pPr>
              <w:jc w:val="left"/>
            </w:pPr>
            <w:r>
              <w:rPr>
                <w:rFonts w:ascii="Arial" w:hAnsi="Arial"/>
                <w:color w:val="171717"/>
                <w:sz w:val="16"/>
              </w:rPr>
              <w:t>Stores item allergens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item_id, allergen_code, presence</w:t>
            </w:r>
          </w:p>
        </w:tc>
        <w:tc>
          <w:tcPr>
            <w:tcW w:type="dxa" w:w="1512"/>
            <w:tcMar>
              <w:top w:w="105" w:type="dxa"/>
              <w:start w:w="130" w:type="dxa"/>
              <w:bottom w:w="105" w:type="dxa"/>
              <w:end w:w="130" w:type="dxa"/>
            </w:tcMar>
            <w:vAlign w:val="center"/>
          </w:tcPr>
          <w:p>
            <w:pPr>
              <w:jc w:val="left"/>
            </w:pPr>
            <w:r>
              <w:rPr>
                <w:rFonts w:ascii="Arial" w:hAnsi="Arial"/>
                <w:color w:val="171717"/>
                <w:sz w:val="16"/>
              </w:rPr>
              <w:t>catalog_items, allergens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inventory_items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ingredients or stock-managed supplies.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sku, name, unit, track_stock, low_stock_threshold</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recipes</w:t>
            </w:r>
          </w:p>
        </w:tc>
        <w:tc>
          <w:tcPr>
            <w:tcW w:type="dxa" w:w="3672"/>
            <w:tcMar>
              <w:top w:w="105" w:type="dxa"/>
              <w:start w:w="130" w:type="dxa"/>
              <w:bottom w:w="105" w:type="dxa"/>
              <w:end w:w="130" w:type="dxa"/>
            </w:tcMar>
            <w:vAlign w:val="center"/>
          </w:tcPr>
          <w:p>
            <w:pPr>
              <w:jc w:val="left"/>
            </w:pPr>
            <w:r>
              <w:rPr>
                <w:rFonts w:ascii="Arial" w:hAnsi="Arial"/>
                <w:color w:val="171717"/>
                <w:sz w:val="16"/>
              </w:rPr>
              <w:t>Maps catalog variants to inventory consumption quantities.</w:t>
            </w:r>
          </w:p>
        </w:tc>
        <w:tc>
          <w:tcPr>
            <w:tcW w:type="dxa" w:w="2232"/>
            <w:tcMar>
              <w:top w:w="105" w:type="dxa"/>
              <w:start w:w="130" w:type="dxa"/>
              <w:bottom w:w="105" w:type="dxa"/>
              <w:end w:w="130" w:type="dxa"/>
            </w:tcMar>
            <w:vAlign w:val="center"/>
          </w:tcPr>
          <w:p>
            <w:pPr>
              <w:jc w:val="left"/>
            </w:pPr>
            <w:r>
              <w:rPr>
                <w:rFonts w:ascii="Arial" w:hAnsi="Arial"/>
                <w:color w:val="171717"/>
                <w:sz w:val="16"/>
              </w:rPr>
              <w:t>item_id, variant_id, modifier_option_id, inventory_item_id, quantity</w:t>
            </w:r>
          </w:p>
        </w:tc>
        <w:tc>
          <w:tcPr>
            <w:tcW w:type="dxa" w:w="1512"/>
            <w:tcMar>
              <w:top w:w="105" w:type="dxa"/>
              <w:start w:w="130" w:type="dxa"/>
              <w:bottom w:w="105" w:type="dxa"/>
              <w:end w:w="130" w:type="dxa"/>
            </w:tcMar>
            <w:vAlign w:val="center"/>
          </w:tcPr>
          <w:p>
            <w:pPr>
              <w:jc w:val="left"/>
            </w:pPr>
            <w:r>
              <w:rPr>
                <w:rFonts w:ascii="Arial" w:hAnsi="Arial"/>
                <w:color w:val="171717"/>
                <w:sz w:val="16"/>
              </w:rPr>
              <w:t>catalog_items, item_variants, modifier_options, inventory_items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inventory_balances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the current outlet inventory balance with versioning.</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inventory_item_id, on_hand, reserved, version</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inventory_items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inventory_movements</w:t>
            </w:r>
          </w:p>
        </w:tc>
        <w:tc>
          <w:tcPr>
            <w:tcW w:type="dxa" w:w="3672"/>
            <w:tcMar>
              <w:top w:w="105" w:type="dxa"/>
              <w:start w:w="130" w:type="dxa"/>
              <w:bottom w:w="105" w:type="dxa"/>
              <w:end w:w="130" w:type="dxa"/>
            </w:tcMar>
            <w:vAlign w:val="center"/>
          </w:tcPr>
          <w:p>
            <w:pPr>
              <w:jc w:val="left"/>
            </w:pPr>
            <w:r>
              <w:rPr>
                <w:rFonts w:ascii="Arial" w:hAnsi="Arial"/>
                <w:color w:val="171717"/>
                <w:sz w:val="16"/>
              </w:rPr>
              <w:t>Provides the immutable inventory movement ledger.</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inventory_item_id, movement_type, quantity_delta, reference_type, reference_id</w:t>
            </w:r>
          </w:p>
        </w:tc>
        <w:tc>
          <w:tcPr>
            <w:tcW w:type="dxa" w:w="1512"/>
            <w:tcMar>
              <w:top w:w="105" w:type="dxa"/>
              <w:start w:w="130" w:type="dxa"/>
              <w:bottom w:w="105" w:type="dxa"/>
              <w:end w:w="130" w:type="dxa"/>
            </w:tcMar>
            <w:vAlign w:val="center"/>
          </w:tcPr>
          <w:p>
            <w:pPr>
              <w:jc w:val="left"/>
            </w:pPr>
            <w:r>
              <w:rPr>
                <w:rFonts w:ascii="Arial" w:hAnsi="Arial"/>
                <w:color w:val="171717"/>
                <w:sz w:val="16"/>
              </w:rPr>
              <w:t>outlets, inventory_items, app_users</w:t>
            </w:r>
          </w:p>
        </w:tc>
      </w:tr>
    </w:tbl>
    <w:p>
      <w:pPr>
        <w:spacing w:after="20"/>
      </w:pPr>
    </w:p>
    <w:p>
      <w:pPr>
        <w:pStyle w:val="Heading2"/>
      </w:pPr>
      <w:r>
        <w:t>Orders tokens and kitchen operations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order_status_definitions</w:t>
            </w:r>
          </w:p>
        </w:tc>
        <w:tc>
          <w:tcPr>
            <w:tcW w:type="dxa" w:w="3672"/>
            <w:tcMar>
              <w:top w:w="105" w:type="dxa"/>
              <w:start w:w="130" w:type="dxa"/>
              <w:bottom w:w="105" w:type="dxa"/>
              <w:end w:w="130" w:type="dxa"/>
            </w:tcMar>
            <w:vAlign w:val="center"/>
          </w:tcPr>
          <w:p>
            <w:pPr>
              <w:jc w:val="left"/>
            </w:pPr>
            <w:r>
              <w:rPr>
                <w:rFonts w:ascii="Arial" w:hAnsi="Arial"/>
                <w:color w:val="171717"/>
                <w:sz w:val="16"/>
              </w:rPr>
              <w:t>Stores order status definitions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code, label, is_terminal, is_customer_visible, sort_order</w:t>
            </w:r>
          </w:p>
        </w:tc>
        <w:tc>
          <w:tcPr>
            <w:tcW w:type="dxa" w:w="1512"/>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order_status_transitions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order status transitions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from_status, to_status, allowed_actor_types, requires_reason</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order_status_definitions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carts</w:t>
            </w:r>
          </w:p>
        </w:tc>
        <w:tc>
          <w:tcPr>
            <w:tcW w:type="dxa" w:w="3672"/>
            <w:tcMar>
              <w:top w:w="105" w:type="dxa"/>
              <w:start w:w="130" w:type="dxa"/>
              <w:bottom w:w="105" w:type="dxa"/>
              <w:end w:w="130" w:type="dxa"/>
            </w:tcMar>
            <w:vAlign w:val="center"/>
          </w:tcPr>
          <w:p>
            <w:pPr>
              <w:jc w:val="left"/>
            </w:pPr>
            <w:r>
              <w:rPr>
                <w:rFonts w:ascii="Arial" w:hAnsi="Arial"/>
                <w:color w:val="171717"/>
                <w:sz w:val="16"/>
              </w:rPr>
              <w:t>Stores an active or converted cart for student or POS checkout.</w:t>
            </w:r>
          </w:p>
        </w:tc>
        <w:tc>
          <w:tcPr>
            <w:tcW w:type="dxa" w:w="2232"/>
            <w:tcMar>
              <w:top w:w="105" w:type="dxa"/>
              <w:start w:w="130" w:type="dxa"/>
              <w:bottom w:w="105" w:type="dxa"/>
              <w:end w:w="130" w:type="dxa"/>
            </w:tcMar>
            <w:vAlign w:val="center"/>
          </w:tcPr>
          <w:p>
            <w:pPr>
              <w:jc w:val="left"/>
            </w:pPr>
            <w:r>
              <w:rPr>
                <w:rFonts w:ascii="Arial" w:hAnsi="Arial"/>
                <w:color w:val="171717"/>
                <w:sz w:val="16"/>
              </w:rPr>
              <w:t>student_user_id, outlet_id, currency_code, status, version, expires_at</w:t>
            </w:r>
          </w:p>
        </w:tc>
        <w:tc>
          <w:tcPr>
            <w:tcW w:type="dxa" w:w="1512"/>
            <w:tcMar>
              <w:top w:w="105" w:type="dxa"/>
              <w:start w:w="130" w:type="dxa"/>
              <w:bottom w:w="105" w:type="dxa"/>
              <w:end w:w="130" w:type="dxa"/>
            </w:tcMar>
            <w:vAlign w:val="center"/>
          </w:tcPr>
          <w:p>
            <w:pPr>
              <w:jc w:val="left"/>
            </w:pPr>
            <w:r>
              <w:rPr>
                <w:rFonts w:ascii="Arial" w:hAnsi="Arial"/>
                <w:color w:val="171717"/>
                <w:sz w:val="16"/>
              </w:rPr>
              <w:t>student_profiles, 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cart_items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cart item selections before an order snapshot is created.</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cart_id, item_id, variant_id, quantity, notes, unit_price_minor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carts, catalog_items, item_variants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cart_item_modifiers</w:t>
            </w:r>
          </w:p>
        </w:tc>
        <w:tc>
          <w:tcPr>
            <w:tcW w:type="dxa" w:w="3672"/>
            <w:tcMar>
              <w:top w:w="105" w:type="dxa"/>
              <w:start w:w="130" w:type="dxa"/>
              <w:bottom w:w="105" w:type="dxa"/>
              <w:end w:w="130" w:type="dxa"/>
            </w:tcMar>
            <w:vAlign w:val="center"/>
          </w:tcPr>
          <w:p>
            <w:pPr>
              <w:jc w:val="left"/>
            </w:pPr>
            <w:r>
              <w:rPr>
                <w:rFonts w:ascii="Arial" w:hAnsi="Arial"/>
                <w:color w:val="171717"/>
                <w:sz w:val="16"/>
              </w:rPr>
              <w:t>Stores selected cart add-ons and quantities.</w:t>
            </w:r>
          </w:p>
        </w:tc>
        <w:tc>
          <w:tcPr>
            <w:tcW w:type="dxa" w:w="2232"/>
            <w:tcMar>
              <w:top w:w="105" w:type="dxa"/>
              <w:start w:w="130" w:type="dxa"/>
              <w:bottom w:w="105" w:type="dxa"/>
              <w:end w:w="130" w:type="dxa"/>
            </w:tcMar>
            <w:vAlign w:val="center"/>
          </w:tcPr>
          <w:p>
            <w:pPr>
              <w:jc w:val="left"/>
            </w:pPr>
            <w:r>
              <w:rPr>
                <w:rFonts w:ascii="Arial" w:hAnsi="Arial"/>
                <w:color w:val="171717"/>
                <w:sz w:val="16"/>
              </w:rPr>
              <w:t>cart_item_id, modifier_group_id, modifier_option_id, quantity, unit_price_delta_minor</w:t>
            </w:r>
          </w:p>
        </w:tc>
        <w:tc>
          <w:tcPr>
            <w:tcW w:type="dxa" w:w="1512"/>
            <w:tcMar>
              <w:top w:w="105" w:type="dxa"/>
              <w:start w:w="130" w:type="dxa"/>
              <w:bottom w:w="105" w:type="dxa"/>
              <w:end w:w="130" w:type="dxa"/>
            </w:tcMar>
            <w:vAlign w:val="center"/>
          </w:tcPr>
          <w:p>
            <w:pPr>
              <w:jc w:val="left"/>
            </w:pPr>
            <w:r>
              <w:rPr>
                <w:rFonts w:ascii="Arial" w:hAnsi="Arial"/>
                <w:color w:val="171717"/>
                <w:sz w:val="16"/>
              </w:rPr>
              <w:t>cart_items, modifier_groups, modifier_options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order_number_sequences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Allocates atomic daily order numbers per outlet.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business_date, next_value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token_sequences</w:t>
            </w:r>
          </w:p>
        </w:tc>
        <w:tc>
          <w:tcPr>
            <w:tcW w:type="dxa" w:w="3672"/>
            <w:tcMar>
              <w:top w:w="105" w:type="dxa"/>
              <w:start w:w="130" w:type="dxa"/>
              <w:bottom w:w="105" w:type="dxa"/>
              <w:end w:w="130" w:type="dxa"/>
            </w:tcMar>
            <w:vAlign w:val="center"/>
          </w:tcPr>
          <w:p>
            <w:pPr>
              <w:jc w:val="left"/>
            </w:pPr>
            <w:r>
              <w:rPr>
                <w:rFonts w:ascii="Arial" w:hAnsi="Arial"/>
                <w:color w:val="171717"/>
                <w:sz w:val="16"/>
              </w:rPr>
              <w:t>Allocates atomic daily pickup tokens per service counter.</w:t>
            </w:r>
          </w:p>
        </w:tc>
        <w:tc>
          <w:tcPr>
            <w:tcW w:type="dxa" w:w="2232"/>
            <w:tcMar>
              <w:top w:w="105" w:type="dxa"/>
              <w:start w:w="130" w:type="dxa"/>
              <w:bottom w:w="105" w:type="dxa"/>
              <w:end w:w="130" w:type="dxa"/>
            </w:tcMar>
            <w:vAlign w:val="center"/>
          </w:tcPr>
          <w:p>
            <w:pPr>
              <w:jc w:val="left"/>
            </w:pPr>
            <w:r>
              <w:rPr>
                <w:rFonts w:ascii="Arial" w:hAnsi="Arial"/>
                <w:color w:val="171717"/>
                <w:sz w:val="16"/>
              </w:rPr>
              <w:t>counter_id, service_date, next_value</w:t>
            </w:r>
          </w:p>
        </w:tc>
        <w:tc>
          <w:tcPr>
            <w:tcW w:type="dxa" w:w="1512"/>
            <w:tcMar>
              <w:top w:w="105" w:type="dxa"/>
              <w:start w:w="130" w:type="dxa"/>
              <w:bottom w:w="105" w:type="dxa"/>
              <w:end w:w="130" w:type="dxa"/>
            </w:tcMar>
            <w:vAlign w:val="center"/>
          </w:tcPr>
          <w:p>
            <w:pPr>
              <w:jc w:val="left"/>
            </w:pPr>
            <w:r>
              <w:rPr>
                <w:rFonts w:ascii="Arial" w:hAnsi="Arial"/>
                <w:color w:val="171717"/>
                <w:sz w:val="16"/>
              </w:rPr>
              <w:t>service_counters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the authoritative order identity totals payment state and fulfillment state.</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public_number, outlet_id, counter_id, terminal_id, student_user_id, created_by_user_id</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service_counters, pos_terminals, student_profiles,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order_items</w:t>
            </w:r>
          </w:p>
        </w:tc>
        <w:tc>
          <w:tcPr>
            <w:tcW w:type="dxa" w:w="3672"/>
            <w:tcMar>
              <w:top w:w="105" w:type="dxa"/>
              <w:start w:w="130" w:type="dxa"/>
              <w:bottom w:w="105" w:type="dxa"/>
              <w:end w:w="130" w:type="dxa"/>
            </w:tcMar>
            <w:vAlign w:val="center"/>
          </w:tcPr>
          <w:p>
            <w:pPr>
              <w:jc w:val="left"/>
            </w:pPr>
            <w:r>
              <w:rPr>
                <w:rFonts w:ascii="Arial" w:hAnsi="Arial"/>
                <w:color w:val="171717"/>
                <w:sz w:val="16"/>
              </w:rPr>
              <w:t>Stores immutable item and variant snapshots accepted at checkout.</w:t>
            </w:r>
          </w:p>
        </w:tc>
        <w:tc>
          <w:tcPr>
            <w:tcW w:type="dxa" w:w="2232"/>
            <w:tcMar>
              <w:top w:w="105" w:type="dxa"/>
              <w:start w:w="130" w:type="dxa"/>
              <w:bottom w:w="105" w:type="dxa"/>
              <w:end w:w="130" w:type="dxa"/>
            </w:tcMar>
            <w:vAlign w:val="center"/>
          </w:tcPr>
          <w:p>
            <w:pPr>
              <w:jc w:val="left"/>
            </w:pPr>
            <w:r>
              <w:rPr>
                <w:rFonts w:ascii="Arial" w:hAnsi="Arial"/>
                <w:color w:val="171717"/>
                <w:sz w:val="16"/>
              </w:rPr>
              <w:t>order_id, catalog_item_id, variant_id, sku_snapshot, item_name_snapshot, variant_name_snapshot</w:t>
            </w:r>
          </w:p>
        </w:tc>
        <w:tc>
          <w:tcPr>
            <w:tcW w:type="dxa" w:w="1512"/>
            <w:tcMar>
              <w:top w:w="105" w:type="dxa"/>
              <w:start w:w="130" w:type="dxa"/>
              <w:bottom w:w="105" w:type="dxa"/>
              <w:end w:w="130" w:type="dxa"/>
            </w:tcMar>
            <w:vAlign w:val="center"/>
          </w:tcPr>
          <w:p>
            <w:pPr>
              <w:jc w:val="left"/>
            </w:pPr>
            <w:r>
              <w:rPr>
                <w:rFonts w:ascii="Arial" w:hAnsi="Arial"/>
                <w:color w:val="171717"/>
                <w:sz w:val="16"/>
              </w:rPr>
              <w:t>orders, catalog_items, item_variants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order_item_modifiers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immutable selected add-on snapshots for each order item.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order_item_id, modifier_group_id, modifier_option_id, group_name_snapshot, option_name_snapshot, quantity</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order_items, modifier_groups, modifier_options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order_tax_lines</w:t>
            </w:r>
          </w:p>
        </w:tc>
        <w:tc>
          <w:tcPr>
            <w:tcW w:type="dxa" w:w="3672"/>
            <w:tcMar>
              <w:top w:w="105" w:type="dxa"/>
              <w:start w:w="130" w:type="dxa"/>
              <w:bottom w:w="105" w:type="dxa"/>
              <w:end w:w="130" w:type="dxa"/>
            </w:tcMar>
            <w:vAlign w:val="center"/>
          </w:tcPr>
          <w:p>
            <w:pPr>
              <w:jc w:val="left"/>
            </w:pPr>
            <w:r>
              <w:rPr>
                <w:rFonts w:ascii="Arial" w:hAnsi="Arial"/>
                <w:color w:val="171717"/>
                <w:sz w:val="16"/>
              </w:rPr>
              <w:t>Stores tax component snapshots and calculated amounts for an order.</w:t>
            </w:r>
          </w:p>
        </w:tc>
        <w:tc>
          <w:tcPr>
            <w:tcW w:type="dxa" w:w="2232"/>
            <w:tcMar>
              <w:top w:w="105" w:type="dxa"/>
              <w:start w:w="130" w:type="dxa"/>
              <w:bottom w:w="105" w:type="dxa"/>
              <w:end w:w="130" w:type="dxa"/>
            </w:tcMar>
            <w:vAlign w:val="center"/>
          </w:tcPr>
          <w:p>
            <w:pPr>
              <w:jc w:val="left"/>
            </w:pPr>
            <w:r>
              <w:rPr>
                <w:rFonts w:ascii="Arial" w:hAnsi="Arial"/>
                <w:color w:val="171717"/>
                <w:sz w:val="16"/>
              </w:rPr>
              <w:t>order_id, order_item_id, tax_rate_id, name_snapshot, rate_basis_points, taxable_amount_minor</w:t>
            </w:r>
          </w:p>
        </w:tc>
        <w:tc>
          <w:tcPr>
            <w:tcW w:type="dxa" w:w="1512"/>
            <w:tcMar>
              <w:top w:w="105" w:type="dxa"/>
              <w:start w:w="130" w:type="dxa"/>
              <w:bottom w:w="105" w:type="dxa"/>
              <w:end w:w="130" w:type="dxa"/>
            </w:tcMar>
            <w:vAlign w:val="center"/>
          </w:tcPr>
          <w:p>
            <w:pPr>
              <w:jc w:val="left"/>
            </w:pPr>
            <w:r>
              <w:rPr>
                <w:rFonts w:ascii="Arial" w:hAnsi="Arial"/>
                <w:color w:val="171717"/>
                <w:sz w:val="16"/>
              </w:rPr>
              <w:t>orders, order_items, tax_rates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order_charge_lines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fee and service-charge snapshots for an order.</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order_id, service_charge_id, name_snapshot, calculation_type, rate_basis_points, base_amount_minor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orders, service_charges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order_status_events</w:t>
            </w:r>
          </w:p>
        </w:tc>
        <w:tc>
          <w:tcPr>
            <w:tcW w:type="dxa" w:w="3672"/>
            <w:tcMar>
              <w:top w:w="105" w:type="dxa"/>
              <w:start w:w="130" w:type="dxa"/>
              <w:bottom w:w="105" w:type="dxa"/>
              <w:end w:w="130" w:type="dxa"/>
            </w:tcMar>
            <w:vAlign w:val="center"/>
          </w:tcPr>
          <w:p>
            <w:pPr>
              <w:jc w:val="left"/>
            </w:pPr>
            <w:r>
              <w:rPr>
                <w:rFonts w:ascii="Arial" w:hAnsi="Arial"/>
                <w:color w:val="171717"/>
                <w:sz w:val="16"/>
              </w:rPr>
              <w:t>Records the append-only fulfillment status history.</w:t>
            </w:r>
          </w:p>
        </w:tc>
        <w:tc>
          <w:tcPr>
            <w:tcW w:type="dxa" w:w="2232"/>
            <w:tcMar>
              <w:top w:w="105" w:type="dxa"/>
              <w:start w:w="130" w:type="dxa"/>
              <w:bottom w:w="105" w:type="dxa"/>
              <w:end w:w="130" w:type="dxa"/>
            </w:tcMar>
            <w:vAlign w:val="center"/>
          </w:tcPr>
          <w:p>
            <w:pPr>
              <w:jc w:val="left"/>
            </w:pPr>
            <w:r>
              <w:rPr>
                <w:rFonts w:ascii="Arial" w:hAnsi="Arial"/>
                <w:color w:val="171717"/>
                <w:sz w:val="16"/>
              </w:rPr>
              <w:t>order_id, from_status, to_status, actor_type, actor_user_id, reason_code</w:t>
            </w:r>
          </w:p>
        </w:tc>
        <w:tc>
          <w:tcPr>
            <w:tcW w:type="dxa" w:w="1512"/>
            <w:tcMar>
              <w:top w:w="105" w:type="dxa"/>
              <w:start w:w="130" w:type="dxa"/>
              <w:bottom w:w="105" w:type="dxa"/>
              <w:end w:w="130" w:type="dxa"/>
            </w:tcMar>
            <w:vAlign w:val="center"/>
          </w:tcPr>
          <w:p>
            <w:pPr>
              <w:jc w:val="left"/>
            </w:pPr>
            <w:r>
              <w:rPr>
                <w:rFonts w:ascii="Arial" w:hAnsi="Arial"/>
                <w:color w:val="171717"/>
                <w:sz w:val="16"/>
              </w:rPr>
              <w:t>orders, order_status_definitions,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order_tokens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Links an order to its counter-scoped pickup token.</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order_id, counter_id, service_date, token_number, token_label, issued_at</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orders, service_counters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kitchen_stations</w:t>
            </w:r>
          </w:p>
        </w:tc>
        <w:tc>
          <w:tcPr>
            <w:tcW w:type="dxa" w:w="3672"/>
            <w:tcMar>
              <w:top w:w="105" w:type="dxa"/>
              <w:start w:w="130" w:type="dxa"/>
              <w:bottom w:w="105" w:type="dxa"/>
              <w:end w:w="130" w:type="dxa"/>
            </w:tcMar>
            <w:vAlign w:val="center"/>
          </w:tcPr>
          <w:p>
            <w:pPr>
              <w:jc w:val="left"/>
            </w:pPr>
            <w:r>
              <w:rPr>
                <w:rFonts w:ascii="Arial" w:hAnsi="Arial"/>
                <w:color w:val="171717"/>
                <w:sz w:val="16"/>
              </w:rPr>
              <w:t>Defines kitchen preparation destinations within an outlet.</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code, name, status, display_order</w:t>
            </w:r>
          </w:p>
        </w:tc>
        <w:tc>
          <w:tcPr>
            <w:tcW w:type="dxa" w:w="1512"/>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item_station_routes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Routes catalog items to appropriate kitchen stations.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item_id, kitchen_station_id, priority</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catalog_items, kitchen_stations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kots</w:t>
            </w:r>
          </w:p>
        </w:tc>
        <w:tc>
          <w:tcPr>
            <w:tcW w:type="dxa" w:w="3672"/>
            <w:tcMar>
              <w:top w:w="105" w:type="dxa"/>
              <w:start w:w="130" w:type="dxa"/>
              <w:bottom w:w="105" w:type="dxa"/>
              <w:end w:w="130" w:type="dxa"/>
            </w:tcMar>
            <w:vAlign w:val="center"/>
          </w:tcPr>
          <w:p>
            <w:pPr>
              <w:jc w:val="left"/>
            </w:pPr>
            <w:r>
              <w:rPr>
                <w:rFonts w:ascii="Arial" w:hAnsi="Arial"/>
                <w:color w:val="171717"/>
                <w:sz w:val="16"/>
              </w:rPr>
              <w:t>Stores Kitchen Order Tickets and revision lifecycle.</w:t>
            </w:r>
          </w:p>
        </w:tc>
        <w:tc>
          <w:tcPr>
            <w:tcW w:type="dxa" w:w="2232"/>
            <w:tcMar>
              <w:top w:w="105" w:type="dxa"/>
              <w:start w:w="130" w:type="dxa"/>
              <w:bottom w:w="105" w:type="dxa"/>
              <w:end w:w="130" w:type="dxa"/>
            </w:tcMar>
            <w:vAlign w:val="center"/>
          </w:tcPr>
          <w:p>
            <w:pPr>
              <w:jc w:val="left"/>
            </w:pPr>
            <w:r>
              <w:rPr>
                <w:rFonts w:ascii="Arial" w:hAnsi="Arial"/>
                <w:color w:val="171717"/>
                <w:sz w:val="16"/>
              </w:rPr>
              <w:t>order_id, kitchen_station_id, kot_number, revision, status, source</w:t>
            </w:r>
          </w:p>
        </w:tc>
        <w:tc>
          <w:tcPr>
            <w:tcW w:type="dxa" w:w="1512"/>
            <w:tcMar>
              <w:top w:w="105" w:type="dxa"/>
              <w:start w:w="130" w:type="dxa"/>
              <w:bottom w:w="105" w:type="dxa"/>
              <w:end w:w="130" w:type="dxa"/>
            </w:tcMar>
            <w:vAlign w:val="center"/>
          </w:tcPr>
          <w:p>
            <w:pPr>
              <w:jc w:val="left"/>
            </w:pPr>
            <w:r>
              <w:rPr>
                <w:rFonts w:ascii="Arial" w:hAnsi="Arial"/>
                <w:color w:val="171717"/>
                <w:sz w:val="16"/>
              </w:rPr>
              <w:t>orders, kitchen_stations,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kot_items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KOT item snapshots and preparation status.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kot_id, order_item_id, quantity, item_name_snapshot, variant_name_snapshot, notes_snapshot</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kots, order_items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kot_item_modifiers</w:t>
            </w:r>
          </w:p>
        </w:tc>
        <w:tc>
          <w:tcPr>
            <w:tcW w:type="dxa" w:w="3672"/>
            <w:tcMar>
              <w:top w:w="105" w:type="dxa"/>
              <w:start w:w="130" w:type="dxa"/>
              <w:bottom w:w="105" w:type="dxa"/>
              <w:end w:w="130" w:type="dxa"/>
            </w:tcMar>
            <w:vAlign w:val="center"/>
          </w:tcPr>
          <w:p>
            <w:pPr>
              <w:jc w:val="left"/>
            </w:pPr>
            <w:r>
              <w:rPr>
                <w:rFonts w:ascii="Arial" w:hAnsi="Arial"/>
                <w:color w:val="171717"/>
                <w:sz w:val="16"/>
              </w:rPr>
              <w:t>Stores KOT add-on snapshots for kitchen visibility.</w:t>
            </w:r>
          </w:p>
        </w:tc>
        <w:tc>
          <w:tcPr>
            <w:tcW w:type="dxa" w:w="2232"/>
            <w:tcMar>
              <w:top w:w="105" w:type="dxa"/>
              <w:start w:w="130" w:type="dxa"/>
              <w:bottom w:w="105" w:type="dxa"/>
              <w:end w:w="130" w:type="dxa"/>
            </w:tcMar>
            <w:vAlign w:val="center"/>
          </w:tcPr>
          <w:p>
            <w:pPr>
              <w:jc w:val="left"/>
            </w:pPr>
            <w:r>
              <w:rPr>
                <w:rFonts w:ascii="Arial" w:hAnsi="Arial"/>
                <w:color w:val="171717"/>
                <w:sz w:val="16"/>
              </w:rPr>
              <w:t>kot_item_id, option_name_snapshot, quantity</w:t>
            </w:r>
          </w:p>
        </w:tc>
        <w:tc>
          <w:tcPr>
            <w:tcW w:type="dxa" w:w="1512"/>
            <w:tcMar>
              <w:top w:w="105" w:type="dxa"/>
              <w:start w:w="130" w:type="dxa"/>
              <w:bottom w:w="105" w:type="dxa"/>
              <w:end w:w="130" w:type="dxa"/>
            </w:tcMar>
            <w:vAlign w:val="center"/>
          </w:tcPr>
          <w:p>
            <w:pPr>
              <w:jc w:val="left"/>
            </w:pPr>
            <w:r>
              <w:rPr>
                <w:rFonts w:ascii="Arial" w:hAnsi="Arial"/>
                <w:color w:val="171717"/>
                <w:sz w:val="16"/>
              </w:rPr>
              <w:t>kot_items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kot_status_events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Records KOT lifecycle changes.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kot_id, kot_item_id, from_status, to_status, actor_user_id, reason_code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kots, kot_items, app_users</w:t>
            </w:r>
          </w:p>
        </w:tc>
      </w:tr>
    </w:tbl>
    <w:p>
      <w:pPr>
        <w:spacing w:after="20"/>
      </w:pPr>
    </w:p>
    <w:p>
      <w:pPr>
        <w:pStyle w:val="Heading2"/>
      </w:pPr>
      <w:r>
        <w:t>Payments promotions wallet and finance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payment_method_configs</w:t>
            </w:r>
          </w:p>
        </w:tc>
        <w:tc>
          <w:tcPr>
            <w:tcW w:type="dxa" w:w="3672"/>
            <w:tcMar>
              <w:top w:w="105" w:type="dxa"/>
              <w:start w:w="130" w:type="dxa"/>
              <w:bottom w:w="105" w:type="dxa"/>
              <w:end w:w="130" w:type="dxa"/>
            </w:tcMar>
            <w:vAlign w:val="center"/>
          </w:tcPr>
          <w:p>
            <w:pPr>
              <w:jc w:val="left"/>
            </w:pPr>
            <w:r>
              <w:rPr>
                <w:rFonts w:ascii="Arial" w:hAnsi="Arial"/>
                <w:color w:val="171717"/>
                <w:sz w:val="16"/>
              </w:rPr>
              <w:t>Configures enabled payment methods per canteen or outlet using secret references.</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outlet_id, method_code, display_name, provider, secret_reference</w:t>
            </w:r>
          </w:p>
        </w:tc>
        <w:tc>
          <w:tcPr>
            <w:tcW w:type="dxa" w:w="1512"/>
            <w:tcMar>
              <w:top w:w="105" w:type="dxa"/>
              <w:start w:w="130" w:type="dxa"/>
              <w:bottom w:w="105" w:type="dxa"/>
              <w:end w:w="130" w:type="dxa"/>
            </w:tcMar>
            <w:vAlign w:val="center"/>
          </w:tcPr>
          <w:p>
            <w:pPr>
              <w:jc w:val="left"/>
            </w:pPr>
            <w:r>
              <w:rPr>
                <w:rFonts w:ascii="Arial" w:hAnsi="Arial"/>
                <w:color w:val="171717"/>
                <w:sz w:val="16"/>
              </w:rPr>
              <w:t>canteens, 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payment_intents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Represents an amount attempted through one payment method for an order.</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order_id, payment_method_config_id, provider, provider_intent_id, idempotency_key, amount_minor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orders, payment_method_configs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payment_transactions</w:t>
            </w:r>
          </w:p>
        </w:tc>
        <w:tc>
          <w:tcPr>
            <w:tcW w:type="dxa" w:w="3672"/>
            <w:tcMar>
              <w:top w:w="105" w:type="dxa"/>
              <w:start w:w="130" w:type="dxa"/>
              <w:bottom w:w="105" w:type="dxa"/>
              <w:end w:w="130" w:type="dxa"/>
            </w:tcMar>
            <w:vAlign w:val="center"/>
          </w:tcPr>
          <w:p>
            <w:pPr>
              <w:jc w:val="left"/>
            </w:pPr>
            <w:r>
              <w:rPr>
                <w:rFonts w:ascii="Arial" w:hAnsi="Arial"/>
                <w:color w:val="171717"/>
                <w:sz w:val="16"/>
              </w:rPr>
              <w:t>Stores immutable authorization capture sale refund and adjustment events.</w:t>
            </w:r>
          </w:p>
        </w:tc>
        <w:tc>
          <w:tcPr>
            <w:tcW w:type="dxa" w:w="2232"/>
            <w:tcMar>
              <w:top w:w="105" w:type="dxa"/>
              <w:start w:w="130" w:type="dxa"/>
              <w:bottom w:w="105" w:type="dxa"/>
              <w:end w:w="130" w:type="dxa"/>
            </w:tcMar>
            <w:vAlign w:val="center"/>
          </w:tcPr>
          <w:p>
            <w:pPr>
              <w:jc w:val="left"/>
            </w:pPr>
            <w:r>
              <w:rPr>
                <w:rFonts w:ascii="Arial" w:hAnsi="Arial"/>
                <w:color w:val="171717"/>
                <w:sz w:val="16"/>
              </w:rPr>
              <w:t>payment_intent_id, transaction_type, provider_transaction_id, amount_minor, currency_code, status</w:t>
            </w:r>
          </w:p>
        </w:tc>
        <w:tc>
          <w:tcPr>
            <w:tcW w:type="dxa" w:w="1512"/>
            <w:tcMar>
              <w:top w:w="105" w:type="dxa"/>
              <w:start w:w="130" w:type="dxa"/>
              <w:bottom w:w="105" w:type="dxa"/>
              <w:end w:w="130" w:type="dxa"/>
            </w:tcMar>
            <w:vAlign w:val="center"/>
          </w:tcPr>
          <w:p>
            <w:pPr>
              <w:jc w:val="left"/>
            </w:pPr>
            <w:r>
              <w:rPr>
                <w:rFonts w:ascii="Arial" w:hAnsi="Arial"/>
                <w:color w:val="171717"/>
                <w:sz w:val="16"/>
              </w:rPr>
              <w:t>payment_intents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refund_reasons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refund reasons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label, is_active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refunds</w:t>
            </w:r>
          </w:p>
        </w:tc>
        <w:tc>
          <w:tcPr>
            <w:tcW w:type="dxa" w:w="3672"/>
            <w:tcMar>
              <w:top w:w="105" w:type="dxa"/>
              <w:start w:w="130" w:type="dxa"/>
              <w:bottom w:w="105" w:type="dxa"/>
              <w:end w:w="130" w:type="dxa"/>
            </w:tcMar>
            <w:vAlign w:val="center"/>
          </w:tcPr>
          <w:p>
            <w:pPr>
              <w:jc w:val="left"/>
            </w:pPr>
            <w:r>
              <w:rPr>
                <w:rFonts w:ascii="Arial" w:hAnsi="Arial"/>
                <w:color w:val="171717"/>
                <w:sz w:val="16"/>
              </w:rPr>
              <w:t>Tracks order refunds with idempotency and provider references.</w:t>
            </w:r>
          </w:p>
        </w:tc>
        <w:tc>
          <w:tcPr>
            <w:tcW w:type="dxa" w:w="2232"/>
            <w:tcMar>
              <w:top w:w="105" w:type="dxa"/>
              <w:start w:w="130" w:type="dxa"/>
              <w:bottom w:w="105" w:type="dxa"/>
              <w:end w:w="130" w:type="dxa"/>
            </w:tcMar>
            <w:vAlign w:val="center"/>
          </w:tcPr>
          <w:p>
            <w:pPr>
              <w:jc w:val="left"/>
            </w:pPr>
            <w:r>
              <w:rPr>
                <w:rFonts w:ascii="Arial" w:hAnsi="Arial"/>
                <w:color w:val="171717"/>
                <w:sz w:val="16"/>
              </w:rPr>
              <w:t>order_id, payment_transaction_id, reason_code, provider_refund_id, idempotency_key, amount_minor</w:t>
            </w:r>
          </w:p>
        </w:tc>
        <w:tc>
          <w:tcPr>
            <w:tcW w:type="dxa" w:w="1512"/>
            <w:tcMar>
              <w:top w:w="105" w:type="dxa"/>
              <w:start w:w="130" w:type="dxa"/>
              <w:bottom w:w="105" w:type="dxa"/>
              <w:end w:w="130" w:type="dxa"/>
            </w:tcMar>
            <w:vAlign w:val="center"/>
          </w:tcPr>
          <w:p>
            <w:pPr>
              <w:jc w:val="left"/>
            </w:pPr>
            <w:r>
              <w:rPr>
                <w:rFonts w:ascii="Arial" w:hAnsi="Arial"/>
                <w:color w:val="171717"/>
                <w:sz w:val="16"/>
              </w:rPr>
              <w:t>orders, payment_transactions, refund_reasons,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promotions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eligibility and value rules for canteen promotions.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name, description, promotion_type, value_minor, value_basis_points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promotion_codes</w:t>
            </w:r>
          </w:p>
        </w:tc>
        <w:tc>
          <w:tcPr>
            <w:tcW w:type="dxa" w:w="3672"/>
            <w:tcMar>
              <w:top w:w="105" w:type="dxa"/>
              <w:start w:w="130" w:type="dxa"/>
              <w:bottom w:w="105" w:type="dxa"/>
              <w:end w:w="130" w:type="dxa"/>
            </w:tcMar>
            <w:vAlign w:val="center"/>
          </w:tcPr>
          <w:p>
            <w:pPr>
              <w:jc w:val="left"/>
            </w:pPr>
            <w:r>
              <w:rPr>
                <w:rFonts w:ascii="Arial" w:hAnsi="Arial"/>
                <w:color w:val="171717"/>
                <w:sz w:val="16"/>
              </w:rPr>
              <w:t>Defines redeemable codes associated with promotions.</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promotion_id, code, usage_limit, status</w:t>
            </w:r>
          </w:p>
        </w:tc>
        <w:tc>
          <w:tcPr>
            <w:tcW w:type="dxa" w:w="1512"/>
            <w:tcMar>
              <w:top w:w="105" w:type="dxa"/>
              <w:start w:w="130" w:type="dxa"/>
              <w:bottom w:w="105" w:type="dxa"/>
              <w:end w:w="130" w:type="dxa"/>
            </w:tcMar>
            <w:vAlign w:val="center"/>
          </w:tcPr>
          <w:p>
            <w:pPr>
              <w:jc w:val="left"/>
            </w:pPr>
            <w:r>
              <w:rPr>
                <w:rFonts w:ascii="Arial" w:hAnsi="Arial"/>
                <w:color w:val="171717"/>
                <w:sz w:val="16"/>
              </w:rPr>
              <w:t>canteens, promotions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order_discount_lines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immutable discount snapshots accepted on an order.</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order_id, order_item_id, promotion_id, promotion_code_snapshot, name_snapshot, amount_minor</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orders, order_items, promotions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promotion_redemptions</w:t>
            </w:r>
          </w:p>
        </w:tc>
        <w:tc>
          <w:tcPr>
            <w:tcW w:type="dxa" w:w="3672"/>
            <w:tcMar>
              <w:top w:w="105" w:type="dxa"/>
              <w:start w:w="130" w:type="dxa"/>
              <w:bottom w:w="105" w:type="dxa"/>
              <w:end w:w="130" w:type="dxa"/>
            </w:tcMar>
            <w:vAlign w:val="center"/>
          </w:tcPr>
          <w:p>
            <w:pPr>
              <w:jc w:val="left"/>
            </w:pPr>
            <w:r>
              <w:rPr>
                <w:rFonts w:ascii="Arial" w:hAnsi="Arial"/>
                <w:color w:val="171717"/>
                <w:sz w:val="16"/>
              </w:rPr>
              <w:t>Tracks promotion consumption and reversal per order.</w:t>
            </w:r>
          </w:p>
        </w:tc>
        <w:tc>
          <w:tcPr>
            <w:tcW w:type="dxa" w:w="2232"/>
            <w:tcMar>
              <w:top w:w="105" w:type="dxa"/>
              <w:start w:w="130" w:type="dxa"/>
              <w:bottom w:w="105" w:type="dxa"/>
              <w:end w:w="130" w:type="dxa"/>
            </w:tcMar>
            <w:vAlign w:val="center"/>
          </w:tcPr>
          <w:p>
            <w:pPr>
              <w:jc w:val="left"/>
            </w:pPr>
            <w:r>
              <w:rPr>
                <w:rFonts w:ascii="Arial" w:hAnsi="Arial"/>
                <w:color w:val="171717"/>
                <w:sz w:val="16"/>
              </w:rPr>
              <w:t>promotion_id, promotion_code_id, order_id, student_user_id, discount_amount_minor, redeemed_at</w:t>
            </w:r>
          </w:p>
        </w:tc>
        <w:tc>
          <w:tcPr>
            <w:tcW w:type="dxa" w:w="1512"/>
            <w:tcMar>
              <w:top w:w="105" w:type="dxa"/>
              <w:start w:w="130" w:type="dxa"/>
              <w:bottom w:w="105" w:type="dxa"/>
              <w:end w:w="130" w:type="dxa"/>
            </w:tcMar>
            <w:vAlign w:val="center"/>
          </w:tcPr>
          <w:p>
            <w:pPr>
              <w:jc w:val="left"/>
            </w:pPr>
            <w:r>
              <w:rPr>
                <w:rFonts w:ascii="Arial" w:hAnsi="Arial"/>
                <w:color w:val="171717"/>
                <w:sz w:val="16"/>
              </w:rPr>
              <w:t>promotions, promotion_codes, orders, student_profiles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wallets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a student's versioned balance by currency.</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student_user_id, currency_code, balance_minor, version,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student_profiles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wallet_transactions</w:t>
            </w:r>
          </w:p>
        </w:tc>
        <w:tc>
          <w:tcPr>
            <w:tcW w:type="dxa" w:w="3672"/>
            <w:tcMar>
              <w:top w:w="105" w:type="dxa"/>
              <w:start w:w="130" w:type="dxa"/>
              <w:bottom w:w="105" w:type="dxa"/>
              <w:end w:w="130" w:type="dxa"/>
            </w:tcMar>
            <w:vAlign w:val="center"/>
          </w:tcPr>
          <w:p>
            <w:pPr>
              <w:jc w:val="left"/>
            </w:pPr>
            <w:r>
              <w:rPr>
                <w:rFonts w:ascii="Arial" w:hAnsi="Arial"/>
                <w:color w:val="171717"/>
                <w:sz w:val="16"/>
              </w:rPr>
              <w:t>Provides the immutable idempotent wallet ledger.</w:t>
            </w:r>
          </w:p>
        </w:tc>
        <w:tc>
          <w:tcPr>
            <w:tcW w:type="dxa" w:w="2232"/>
            <w:tcMar>
              <w:top w:w="105" w:type="dxa"/>
              <w:start w:w="130" w:type="dxa"/>
              <w:bottom w:w="105" w:type="dxa"/>
              <w:end w:w="130" w:type="dxa"/>
            </w:tcMar>
            <w:vAlign w:val="center"/>
          </w:tcPr>
          <w:p>
            <w:pPr>
              <w:jc w:val="left"/>
            </w:pPr>
            <w:r>
              <w:rPr>
                <w:rFonts w:ascii="Arial" w:hAnsi="Arial"/>
                <w:color w:val="171717"/>
                <w:sz w:val="16"/>
              </w:rPr>
              <w:t>wallet_id, transaction_type, amount_delta_minor, balance_after_minor, order_id, payment_transaction_id</w:t>
            </w:r>
          </w:p>
        </w:tc>
        <w:tc>
          <w:tcPr>
            <w:tcW w:type="dxa" w:w="1512"/>
            <w:tcMar>
              <w:top w:w="105" w:type="dxa"/>
              <w:start w:w="130" w:type="dxa"/>
              <w:bottom w:w="105" w:type="dxa"/>
              <w:end w:w="130" w:type="dxa"/>
            </w:tcMar>
            <w:vAlign w:val="center"/>
          </w:tcPr>
          <w:p>
            <w:pPr>
              <w:jc w:val="left"/>
            </w:pPr>
            <w:r>
              <w:rPr>
                <w:rFonts w:ascii="Arial" w:hAnsi="Arial"/>
                <w:color w:val="171717"/>
                <w:sz w:val="16"/>
              </w:rPr>
              <w:t>wallets, orders, payment_transactions,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commission_rules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commission rules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outlet_id, channel, calculation_type, amount_minor, rate_basis_points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platform_collections</w:t>
            </w:r>
          </w:p>
        </w:tc>
        <w:tc>
          <w:tcPr>
            <w:tcW w:type="dxa" w:w="3672"/>
            <w:tcMar>
              <w:top w:w="105" w:type="dxa"/>
              <w:start w:w="130" w:type="dxa"/>
              <w:bottom w:w="105" w:type="dxa"/>
              <w:end w:w="130" w:type="dxa"/>
            </w:tcMar>
            <w:vAlign w:val="center"/>
          </w:tcPr>
          <w:p>
            <w:pPr>
              <w:jc w:val="left"/>
            </w:pPr>
            <w:r>
              <w:rPr>
                <w:rFonts w:ascii="Arial" w:hAnsi="Arial"/>
                <w:color w:val="171717"/>
                <w:sz w:val="16"/>
              </w:rPr>
              <w:t>Calculates platform and canteen settlement amounts for an order.</w:t>
            </w:r>
          </w:p>
        </w:tc>
        <w:tc>
          <w:tcPr>
            <w:tcW w:type="dxa" w:w="2232"/>
            <w:tcMar>
              <w:top w:w="105" w:type="dxa"/>
              <w:start w:w="130" w:type="dxa"/>
              <w:bottom w:w="105" w:type="dxa"/>
              <w:end w:w="130" w:type="dxa"/>
            </w:tcMar>
            <w:vAlign w:val="center"/>
          </w:tcPr>
          <w:p>
            <w:pPr>
              <w:jc w:val="left"/>
            </w:pPr>
            <w:r>
              <w:rPr>
                <w:rFonts w:ascii="Arial" w:hAnsi="Arial"/>
                <w:color w:val="171717"/>
                <w:sz w:val="16"/>
              </w:rPr>
              <w:t>order_id, canteen_id, gross_collected_minor, commission_minor, gateway_fee_minor, tax_on_commission_minor</w:t>
            </w:r>
          </w:p>
        </w:tc>
        <w:tc>
          <w:tcPr>
            <w:tcW w:type="dxa" w:w="1512"/>
            <w:tcMar>
              <w:top w:w="105" w:type="dxa"/>
              <w:start w:w="130" w:type="dxa"/>
              <w:bottom w:w="105" w:type="dxa"/>
              <w:end w:w="130" w:type="dxa"/>
            </w:tcMar>
            <w:vAlign w:val="center"/>
          </w:tcPr>
          <w:p>
            <w:pPr>
              <w:jc w:val="left"/>
            </w:pPr>
            <w:r>
              <w:rPr>
                <w:rFonts w:ascii="Arial" w:hAnsi="Arial"/>
                <w:color w:val="171717"/>
                <w:sz w:val="16"/>
              </w:rPr>
              <w:t>orders, canteens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payouts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Tracks payouts from the platform to a canteen.</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canteen_id, provider, provider_payout_id, idempotency_key, amount_minor, currency_code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canteens,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payout_collections</w:t>
            </w:r>
          </w:p>
        </w:tc>
        <w:tc>
          <w:tcPr>
            <w:tcW w:type="dxa" w:w="3672"/>
            <w:tcMar>
              <w:top w:w="105" w:type="dxa"/>
              <w:start w:w="130" w:type="dxa"/>
              <w:bottom w:w="105" w:type="dxa"/>
              <w:end w:w="130" w:type="dxa"/>
            </w:tcMar>
            <w:vAlign w:val="center"/>
          </w:tcPr>
          <w:p>
            <w:pPr>
              <w:jc w:val="left"/>
            </w:pPr>
            <w:r>
              <w:rPr>
                <w:rFonts w:ascii="Arial" w:hAnsi="Arial"/>
                <w:color w:val="171717"/>
                <w:sz w:val="16"/>
              </w:rPr>
              <w:t>Allocates collected order proceeds into a payout.</w:t>
            </w:r>
          </w:p>
        </w:tc>
        <w:tc>
          <w:tcPr>
            <w:tcW w:type="dxa" w:w="2232"/>
            <w:tcMar>
              <w:top w:w="105" w:type="dxa"/>
              <w:start w:w="130" w:type="dxa"/>
              <w:bottom w:w="105" w:type="dxa"/>
              <w:end w:w="130" w:type="dxa"/>
            </w:tcMar>
            <w:vAlign w:val="center"/>
          </w:tcPr>
          <w:p>
            <w:pPr>
              <w:jc w:val="left"/>
            </w:pPr>
            <w:r>
              <w:rPr>
                <w:rFonts w:ascii="Arial" w:hAnsi="Arial"/>
                <w:color w:val="171717"/>
                <w:sz w:val="16"/>
              </w:rPr>
              <w:t>payout_id, collection_id, amount_minor</w:t>
            </w:r>
          </w:p>
        </w:tc>
        <w:tc>
          <w:tcPr>
            <w:tcW w:type="dxa" w:w="1512"/>
            <w:tcMar>
              <w:top w:w="105" w:type="dxa"/>
              <w:start w:w="130" w:type="dxa"/>
              <w:bottom w:w="105" w:type="dxa"/>
              <w:end w:w="130" w:type="dxa"/>
            </w:tcMar>
            <w:vAlign w:val="center"/>
          </w:tcPr>
          <w:p>
            <w:pPr>
              <w:jc w:val="left"/>
            </w:pPr>
            <w:r>
              <w:rPr>
                <w:rFonts w:ascii="Arial" w:hAnsi="Arial"/>
                <w:color w:val="171717"/>
                <w:sz w:val="16"/>
              </w:rPr>
              <w:t>payouts, platform_collections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subscription_plans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subscription plans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code, name, billing_period, price_minor, currency_code, included_features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canteen_subscriptions</w:t>
            </w:r>
          </w:p>
        </w:tc>
        <w:tc>
          <w:tcPr>
            <w:tcW w:type="dxa" w:w="3672"/>
            <w:tcMar>
              <w:top w:w="105" w:type="dxa"/>
              <w:start w:w="130" w:type="dxa"/>
              <w:bottom w:w="105" w:type="dxa"/>
              <w:end w:w="130" w:type="dxa"/>
            </w:tcMar>
            <w:vAlign w:val="center"/>
          </w:tcPr>
          <w:p>
            <w:pPr>
              <w:jc w:val="left"/>
            </w:pPr>
            <w:r>
              <w:rPr>
                <w:rFonts w:ascii="Arial" w:hAnsi="Arial"/>
                <w:color w:val="171717"/>
                <w:sz w:val="16"/>
              </w:rPr>
              <w:t>Stores canteen subscriptions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plan_id, status, starts_at, current_period_ends_at, cancelled_at</w:t>
            </w:r>
          </w:p>
        </w:tc>
        <w:tc>
          <w:tcPr>
            <w:tcW w:type="dxa" w:w="1512"/>
            <w:tcMar>
              <w:top w:w="105" w:type="dxa"/>
              <w:start w:w="130" w:type="dxa"/>
              <w:bottom w:w="105" w:type="dxa"/>
              <w:end w:w="130" w:type="dxa"/>
            </w:tcMar>
            <w:vAlign w:val="center"/>
          </w:tcPr>
          <w:p>
            <w:pPr>
              <w:jc w:val="left"/>
            </w:pPr>
            <w:r>
              <w:rPr>
                <w:rFonts w:ascii="Arial" w:hAnsi="Arial"/>
                <w:color w:val="171717"/>
                <w:sz w:val="16"/>
              </w:rPr>
              <w:t>canteens, subscription_plans</w:t>
            </w:r>
          </w:p>
        </w:tc>
      </w:tr>
    </w:tbl>
    <w:p>
      <w:pPr>
        <w:spacing w:after="20"/>
      </w:pPr>
    </w:p>
    <w:p>
      <w:pPr>
        <w:pStyle w:val="Heading2"/>
      </w:pPr>
      <w:r>
        <w:t>POS administration and service operations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printers</w:t>
            </w:r>
          </w:p>
        </w:tc>
        <w:tc>
          <w:tcPr>
            <w:tcW w:type="dxa" w:w="3672"/>
            <w:tcMar>
              <w:top w:w="105" w:type="dxa"/>
              <w:start w:w="130" w:type="dxa"/>
              <w:bottom w:w="105" w:type="dxa"/>
              <w:end w:w="130" w:type="dxa"/>
            </w:tcMar>
            <w:vAlign w:val="center"/>
          </w:tcPr>
          <w:p>
            <w:pPr>
              <w:jc w:val="left"/>
            </w:pPr>
            <w:r>
              <w:rPr>
                <w:rFonts w:ascii="Arial" w:hAnsi="Arial"/>
                <w:color w:val="171717"/>
                <w:sz w:val="16"/>
              </w:rPr>
              <w:t>Registers outlet printers and connection configuration.</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code, name, printer_type, connection_config, paper_width_mm</w:t>
            </w:r>
          </w:p>
        </w:tc>
        <w:tc>
          <w:tcPr>
            <w:tcW w:type="dxa" w:w="1512"/>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printer_routes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Routes document types or stations to printers.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printer_id, document_type, kitchen_station_id, terminal_id, copies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printers, kitchen_stations, pos_terminals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print_jobs</w:t>
            </w:r>
          </w:p>
        </w:tc>
        <w:tc>
          <w:tcPr>
            <w:tcW w:type="dxa" w:w="3672"/>
            <w:tcMar>
              <w:top w:w="105" w:type="dxa"/>
              <w:start w:w="130" w:type="dxa"/>
              <w:bottom w:w="105" w:type="dxa"/>
              <w:end w:w="130" w:type="dxa"/>
            </w:tcMar>
            <w:vAlign w:val="center"/>
          </w:tcPr>
          <w:p>
            <w:pPr>
              <w:jc w:val="left"/>
            </w:pPr>
            <w:r>
              <w:rPr>
                <w:rFonts w:ascii="Arial" w:hAnsi="Arial"/>
                <w:color w:val="171717"/>
                <w:sz w:val="16"/>
              </w:rPr>
              <w:t>Queues retryable KOT and receipt print work.</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printer_id, order_id, kot_id, document_type, document_version</w:t>
            </w:r>
          </w:p>
        </w:tc>
        <w:tc>
          <w:tcPr>
            <w:tcW w:type="dxa" w:w="1512"/>
            <w:tcMar>
              <w:top w:w="105" w:type="dxa"/>
              <w:start w:w="130" w:type="dxa"/>
              <w:bottom w:w="105" w:type="dxa"/>
              <w:end w:w="130" w:type="dxa"/>
            </w:tcMar>
            <w:vAlign w:val="center"/>
          </w:tcPr>
          <w:p>
            <w:pPr>
              <w:jc w:val="left"/>
            </w:pPr>
            <w:r>
              <w:rPr>
                <w:rFonts w:ascii="Arial" w:hAnsi="Arial"/>
                <w:color w:val="171717"/>
                <w:sz w:val="16"/>
              </w:rPr>
              <w:t>outlets, printers, orders, kots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cash_registers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Defines cash drawers or registers at an outlet.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terminal_id, code, name,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 pos_terminals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pos_shifts</w:t>
            </w:r>
          </w:p>
        </w:tc>
        <w:tc>
          <w:tcPr>
            <w:tcW w:type="dxa" w:w="3672"/>
            <w:tcMar>
              <w:top w:w="105" w:type="dxa"/>
              <w:start w:w="130" w:type="dxa"/>
              <w:bottom w:w="105" w:type="dxa"/>
              <w:end w:w="130" w:type="dxa"/>
            </w:tcMar>
            <w:vAlign w:val="center"/>
          </w:tcPr>
          <w:p>
            <w:pPr>
              <w:jc w:val="left"/>
            </w:pPr>
            <w:r>
              <w:rPr>
                <w:rFonts w:ascii="Arial" w:hAnsi="Arial"/>
                <w:color w:val="171717"/>
                <w:sz w:val="16"/>
              </w:rPr>
              <w:t>Tracks register opening closing and reconciliation.</w:t>
            </w:r>
          </w:p>
        </w:tc>
        <w:tc>
          <w:tcPr>
            <w:tcW w:type="dxa" w:w="2232"/>
            <w:tcMar>
              <w:top w:w="105" w:type="dxa"/>
              <w:start w:w="130" w:type="dxa"/>
              <w:bottom w:w="105" w:type="dxa"/>
              <w:end w:w="130" w:type="dxa"/>
            </w:tcMar>
            <w:vAlign w:val="center"/>
          </w:tcPr>
          <w:p>
            <w:pPr>
              <w:jc w:val="left"/>
            </w:pPr>
            <w:r>
              <w:rPr>
                <w:rFonts w:ascii="Arial" w:hAnsi="Arial"/>
                <w:color w:val="171717"/>
                <w:sz w:val="16"/>
              </w:rPr>
              <w:t>cash_register_id, opened_by, closed_by, opening_cash_minor, expected_closing_cash_minor, counted_closing_cash_minor</w:t>
            </w:r>
          </w:p>
        </w:tc>
        <w:tc>
          <w:tcPr>
            <w:tcW w:type="dxa" w:w="1512"/>
            <w:tcMar>
              <w:top w:w="105" w:type="dxa"/>
              <w:start w:w="130" w:type="dxa"/>
              <w:bottom w:w="105" w:type="dxa"/>
              <w:end w:w="130" w:type="dxa"/>
            </w:tcMar>
            <w:vAlign w:val="center"/>
          </w:tcPr>
          <w:p>
            <w:pPr>
              <w:jc w:val="left"/>
            </w:pPr>
            <w:r>
              <w:rPr>
                <w:rFonts w:ascii="Arial" w:hAnsi="Arial"/>
                <w:color w:val="171717"/>
                <w:sz w:val="16"/>
              </w:rPr>
              <w:t>cash_registers,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cash_movements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Records cash paid in paid out and corrective movements.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shift_id, order_id, movement_type, amount_minor, currency_code, reason</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pos_shifts, orders,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dining_areas</w:t>
            </w:r>
          </w:p>
        </w:tc>
        <w:tc>
          <w:tcPr>
            <w:tcW w:type="dxa" w:w="3672"/>
            <w:tcMar>
              <w:top w:w="105" w:type="dxa"/>
              <w:start w:w="130" w:type="dxa"/>
              <w:bottom w:w="105" w:type="dxa"/>
              <w:end w:w="130" w:type="dxa"/>
            </w:tcMar>
            <w:vAlign w:val="center"/>
          </w:tcPr>
          <w:p>
            <w:pPr>
              <w:jc w:val="left"/>
            </w:pPr>
            <w:r>
              <w:rPr>
                <w:rFonts w:ascii="Arial" w:hAnsi="Arial"/>
                <w:color w:val="171717"/>
                <w:sz w:val="16"/>
              </w:rPr>
              <w:t>Stores dining areas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code, name, sort_order, status</w:t>
            </w:r>
          </w:p>
        </w:tc>
        <w:tc>
          <w:tcPr>
            <w:tcW w:type="dxa" w:w="1512"/>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dining_tables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dining tables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dining_area_id, code, name, capacity, qr_token_hash, status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dining_areas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reservations</w:t>
            </w:r>
          </w:p>
        </w:tc>
        <w:tc>
          <w:tcPr>
            <w:tcW w:type="dxa" w:w="3672"/>
            <w:tcMar>
              <w:top w:w="105" w:type="dxa"/>
              <w:start w:w="130" w:type="dxa"/>
              <w:bottom w:w="105" w:type="dxa"/>
              <w:end w:w="130" w:type="dxa"/>
            </w:tcMar>
            <w:vAlign w:val="center"/>
          </w:tcPr>
          <w:p>
            <w:pPr>
              <w:jc w:val="left"/>
            </w:pPr>
            <w:r>
              <w:rPr>
                <w:rFonts w:ascii="Arial" w:hAnsi="Arial"/>
                <w:color w:val="171717"/>
                <w:sz w:val="16"/>
              </w:rPr>
              <w:t>Stores reservations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outlet_id, dining_table_id, student_user_id, guest_name, guest_phone_e164, party_size</w:t>
            </w:r>
          </w:p>
        </w:tc>
        <w:tc>
          <w:tcPr>
            <w:tcW w:type="dxa" w:w="1512"/>
            <w:tcMar>
              <w:top w:w="105" w:type="dxa"/>
              <w:start w:w="130" w:type="dxa"/>
              <w:bottom w:w="105" w:type="dxa"/>
              <w:end w:w="130" w:type="dxa"/>
            </w:tcMar>
            <w:vAlign w:val="center"/>
          </w:tcPr>
          <w:p>
            <w:pPr>
              <w:jc w:val="left"/>
            </w:pPr>
            <w:r>
              <w:rPr>
                <w:rFonts w:ascii="Arial" w:hAnsi="Arial"/>
                <w:color w:val="171717"/>
                <w:sz w:val="16"/>
              </w:rPr>
              <w:t>outlets, dining_tables, student_profiles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student_addresses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student addresses records used by the Mealy platform.</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student_user_id, label, recipient_name, phone_e164, address_line_1, address_line_2</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student_profiles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delivery_assignments</w:t>
            </w:r>
          </w:p>
        </w:tc>
        <w:tc>
          <w:tcPr>
            <w:tcW w:type="dxa" w:w="3672"/>
            <w:tcMar>
              <w:top w:w="105" w:type="dxa"/>
              <w:start w:w="130" w:type="dxa"/>
              <w:bottom w:w="105" w:type="dxa"/>
              <w:end w:w="130" w:type="dxa"/>
            </w:tcMar>
            <w:vAlign w:val="center"/>
          </w:tcPr>
          <w:p>
            <w:pPr>
              <w:jc w:val="left"/>
            </w:pPr>
            <w:r>
              <w:rPr>
                <w:rFonts w:ascii="Arial" w:hAnsi="Arial"/>
                <w:color w:val="171717"/>
                <w:sz w:val="16"/>
              </w:rPr>
              <w:t>Stores delivery assignments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order_id, assigned_to_user_id, external_partner, external_reference, status, pickup_at</w:t>
            </w:r>
          </w:p>
        </w:tc>
        <w:tc>
          <w:tcPr>
            <w:tcW w:type="dxa" w:w="1512"/>
            <w:tcMar>
              <w:top w:w="105" w:type="dxa"/>
              <w:start w:w="130" w:type="dxa"/>
              <w:bottom w:w="105" w:type="dxa"/>
              <w:end w:w="130" w:type="dxa"/>
            </w:tcMar>
            <w:vAlign w:val="center"/>
          </w:tcPr>
          <w:p>
            <w:pPr>
              <w:jc w:val="left"/>
            </w:pPr>
            <w:r>
              <w:rPr>
                <w:rFonts w:ascii="Arial" w:hAnsi="Arial"/>
                <w:color w:val="171717"/>
                <w:sz w:val="16"/>
              </w:rPr>
              <w:t>orders,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receipt_sequences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Provides concurrency-safe numbering for receipt.</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outlet_id, financial_year, next_value</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receipts</w:t>
            </w:r>
          </w:p>
        </w:tc>
        <w:tc>
          <w:tcPr>
            <w:tcW w:type="dxa" w:w="3672"/>
            <w:tcMar>
              <w:top w:w="105" w:type="dxa"/>
              <w:start w:w="130" w:type="dxa"/>
              <w:bottom w:w="105" w:type="dxa"/>
              <w:end w:w="130" w:type="dxa"/>
            </w:tcMar>
            <w:vAlign w:val="center"/>
          </w:tcPr>
          <w:p>
            <w:pPr>
              <w:jc w:val="left"/>
            </w:pPr>
            <w:r>
              <w:rPr>
                <w:rFonts w:ascii="Arial" w:hAnsi="Arial"/>
                <w:color w:val="171717"/>
                <w:sz w:val="16"/>
              </w:rPr>
              <w:t>Stores issued receipt references and order linkage.</w:t>
            </w:r>
          </w:p>
        </w:tc>
        <w:tc>
          <w:tcPr>
            <w:tcW w:type="dxa" w:w="2232"/>
            <w:tcMar>
              <w:top w:w="105" w:type="dxa"/>
              <w:start w:w="130" w:type="dxa"/>
              <w:bottom w:w="105" w:type="dxa"/>
              <w:end w:w="130" w:type="dxa"/>
            </w:tcMar>
            <w:vAlign w:val="center"/>
          </w:tcPr>
          <w:p>
            <w:pPr>
              <w:jc w:val="left"/>
            </w:pPr>
            <w:r>
              <w:rPr>
                <w:rFonts w:ascii="Arial" w:hAnsi="Arial"/>
                <w:color w:val="171717"/>
                <w:sz w:val="16"/>
              </w:rPr>
              <w:t>order_id, receipt_number, receipt_type, financial_year, legal_snapshot, totals_snapshot</w:t>
            </w:r>
          </w:p>
        </w:tc>
        <w:tc>
          <w:tcPr>
            <w:tcW w:type="dxa" w:w="1512"/>
            <w:tcMar>
              <w:top w:w="105" w:type="dxa"/>
              <w:start w:w="130" w:type="dxa"/>
              <w:bottom w:w="105" w:type="dxa"/>
              <w:end w:w="130" w:type="dxa"/>
            </w:tcMar>
            <w:vAlign w:val="center"/>
          </w:tcPr>
          <w:p>
            <w:pPr>
              <w:jc w:val="left"/>
            </w:pPr>
            <w:r>
              <w:rPr>
                <w:rFonts w:ascii="Arial" w:hAnsi="Arial"/>
                <w:color w:val="171717"/>
                <w:sz w:val="16"/>
              </w:rPr>
              <w:t>orders, 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feedback</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an order-level student feedback submission.</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order_id, student_user_id, overall_rating, comment, status, submitted_at</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orders, student_profiles, 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feedback_items</w:t>
            </w:r>
          </w:p>
        </w:tc>
        <w:tc>
          <w:tcPr>
            <w:tcW w:type="dxa" w:w="3672"/>
            <w:tcMar>
              <w:top w:w="105" w:type="dxa"/>
              <w:start w:w="130" w:type="dxa"/>
              <w:bottom w:w="105" w:type="dxa"/>
              <w:end w:w="130" w:type="dxa"/>
            </w:tcMar>
            <w:vAlign w:val="center"/>
          </w:tcPr>
          <w:p>
            <w:pPr>
              <w:jc w:val="left"/>
            </w:pPr>
            <w:r>
              <w:rPr>
                <w:rFonts w:ascii="Arial" w:hAnsi="Arial"/>
                <w:color w:val="171717"/>
                <w:sz w:val="16"/>
              </w:rPr>
              <w:t>Stores item-specific ratings or comments within feedback.</w:t>
            </w:r>
          </w:p>
        </w:tc>
        <w:tc>
          <w:tcPr>
            <w:tcW w:type="dxa" w:w="2232"/>
            <w:tcMar>
              <w:top w:w="105" w:type="dxa"/>
              <w:start w:w="130" w:type="dxa"/>
              <w:bottom w:w="105" w:type="dxa"/>
              <w:end w:w="130" w:type="dxa"/>
            </w:tcMar>
            <w:vAlign w:val="center"/>
          </w:tcPr>
          <w:p>
            <w:pPr>
              <w:jc w:val="left"/>
            </w:pPr>
            <w:r>
              <w:rPr>
                <w:rFonts w:ascii="Arial" w:hAnsi="Arial"/>
                <w:color w:val="171717"/>
                <w:sz w:val="16"/>
              </w:rPr>
              <w:t>feedback_id, order_item_id, rating, comment</w:t>
            </w:r>
          </w:p>
        </w:tc>
        <w:tc>
          <w:tcPr>
            <w:tcW w:type="dxa" w:w="1512"/>
            <w:tcMar>
              <w:top w:w="105" w:type="dxa"/>
              <w:start w:w="130" w:type="dxa"/>
              <w:bottom w:w="105" w:type="dxa"/>
              <w:end w:w="130" w:type="dxa"/>
            </w:tcMar>
            <w:vAlign w:val="center"/>
          </w:tcPr>
          <w:p>
            <w:pPr>
              <w:jc w:val="left"/>
            </w:pPr>
            <w:r>
              <w:rPr>
                <w:rFonts w:ascii="Arial" w:hAnsi="Arial"/>
                <w:color w:val="171717"/>
                <w:sz w:val="16"/>
              </w:rPr>
              <w:t>feedback, order_items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push_devices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Registers notification-capable student devices.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user_id, platform, endpoint_hash, encrypted_subscription, status, last_seen_at</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notification_preferences</w:t>
            </w:r>
          </w:p>
        </w:tc>
        <w:tc>
          <w:tcPr>
            <w:tcW w:type="dxa" w:w="3672"/>
            <w:tcMar>
              <w:top w:w="105" w:type="dxa"/>
              <w:start w:w="130" w:type="dxa"/>
              <w:bottom w:w="105" w:type="dxa"/>
              <w:end w:w="130" w:type="dxa"/>
            </w:tcMar>
            <w:vAlign w:val="center"/>
          </w:tcPr>
          <w:p>
            <w:pPr>
              <w:jc w:val="left"/>
            </w:pPr>
            <w:r>
              <w:rPr>
                <w:rFonts w:ascii="Arial" w:hAnsi="Arial"/>
                <w:color w:val="171717"/>
                <w:sz w:val="16"/>
              </w:rPr>
              <w:t>Stores student notification-channel choices.</w:t>
            </w:r>
          </w:p>
        </w:tc>
        <w:tc>
          <w:tcPr>
            <w:tcW w:type="dxa" w:w="2232"/>
            <w:tcMar>
              <w:top w:w="105" w:type="dxa"/>
              <w:start w:w="130" w:type="dxa"/>
              <w:bottom w:w="105" w:type="dxa"/>
              <w:end w:w="130" w:type="dxa"/>
            </w:tcMar>
            <w:vAlign w:val="center"/>
          </w:tcPr>
          <w:p>
            <w:pPr>
              <w:jc w:val="left"/>
            </w:pPr>
            <w:r>
              <w:rPr>
                <w:rFonts w:ascii="Arial" w:hAnsi="Arial"/>
                <w:color w:val="171717"/>
                <w:sz w:val="16"/>
              </w:rPr>
              <w:t>user_id, event_code, channel, enabled</w:t>
            </w:r>
          </w:p>
        </w:tc>
        <w:tc>
          <w:tcPr>
            <w:tcW w:type="dxa" w:w="1512"/>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notifications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Tracks notification content delivery state and retries.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user_id, order_id, event_code, title, body, data</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 orders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onboarding_checklists</w:t>
            </w:r>
          </w:p>
        </w:tc>
        <w:tc>
          <w:tcPr>
            <w:tcW w:type="dxa" w:w="3672"/>
            <w:tcMar>
              <w:top w:w="105" w:type="dxa"/>
              <w:start w:w="130" w:type="dxa"/>
              <w:bottom w:w="105" w:type="dxa"/>
              <w:end w:w="130" w:type="dxa"/>
            </w:tcMar>
            <w:vAlign w:val="center"/>
          </w:tcPr>
          <w:p>
            <w:pPr>
              <w:jc w:val="left"/>
            </w:pPr>
            <w:r>
              <w:rPr>
                <w:rFonts w:ascii="Arial" w:hAnsi="Arial"/>
                <w:color w:val="171717"/>
                <w:sz w:val="16"/>
              </w:rPr>
              <w:t>Stores onboarding checklists records used by the Mealy platform.</w:t>
            </w:r>
          </w:p>
        </w:tc>
        <w:tc>
          <w:tcPr>
            <w:tcW w:type="dxa" w:w="2232"/>
            <w:tcMar>
              <w:top w:w="105" w:type="dxa"/>
              <w:start w:w="130" w:type="dxa"/>
              <w:bottom w:w="105" w:type="dxa"/>
              <w:end w:w="130" w:type="dxa"/>
            </w:tcMar>
            <w:vAlign w:val="center"/>
          </w:tcPr>
          <w:p>
            <w:pPr>
              <w:jc w:val="left"/>
            </w:pPr>
            <w:r>
              <w:rPr>
                <w:rFonts w:ascii="Arial" w:hAnsi="Arial"/>
                <w:color w:val="171717"/>
                <w:sz w:val="16"/>
              </w:rPr>
              <w:t>canteen_id, step_code, status, completed_by, completed_at, notes</w:t>
            </w:r>
          </w:p>
        </w:tc>
        <w:tc>
          <w:tcPr>
            <w:tcW w:type="dxa" w:w="1512"/>
            <w:tcMar>
              <w:top w:w="105" w:type="dxa"/>
              <w:start w:w="130" w:type="dxa"/>
              <w:bottom w:w="105" w:type="dxa"/>
              <w:end w:w="130" w:type="dxa"/>
            </w:tcMar>
            <w:vAlign w:val="center"/>
          </w:tcPr>
          <w:p>
            <w:pPr>
              <w:jc w:val="left"/>
            </w:pPr>
            <w:r>
              <w:rPr>
                <w:rFonts w:ascii="Arial" w:hAnsi="Arial"/>
                <w:color w:val="171717"/>
                <w:sz w:val="16"/>
              </w:rPr>
              <w:t>canteens, app_users</w:t>
            </w:r>
          </w:p>
        </w:tc>
      </w:tr>
    </w:tbl>
    <w:p>
      <w:pPr>
        <w:spacing w:after="20"/>
      </w:pPr>
    </w:p>
    <w:p>
      <w:pPr>
        <w:pStyle w:val="Heading2"/>
      </w:pPr>
      <w:r>
        <w:t>Reliability security and audit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cantSplit w:val="true"/>
        </w:trPr>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Table</w:t>
            </w:r>
          </w:p>
        </w:tc>
        <w:tc>
          <w:tcPr>
            <w:tcW w:type="dxa" w:w="3672"/>
            <w:shd w:fill="4A4A4A"/>
            <w:tcMar>
              <w:top w:w="120" w:type="dxa"/>
              <w:start w:w="130" w:type="dxa"/>
              <w:bottom w:w="120" w:type="dxa"/>
              <w:end w:w="130" w:type="dxa"/>
            </w:tcMar>
            <w:vAlign w:val="center"/>
          </w:tcPr>
          <w:p>
            <w:pPr>
              <w:jc w:val="center"/>
            </w:pPr>
            <w:r>
              <w:rPr>
                <w:rFonts w:ascii="Arial" w:hAnsi="Arial"/>
                <w:b/>
                <w:color w:val="FFFFFF"/>
                <w:sz w:val="18"/>
              </w:rPr>
              <w:t>Purpose</w:t>
            </w:r>
          </w:p>
        </w:tc>
        <w:tc>
          <w:tcPr>
            <w:tcW w:type="dxa" w:w="2232"/>
            <w:shd w:fill="4A4A4A"/>
            <w:tcMar>
              <w:top w:w="120" w:type="dxa"/>
              <w:start w:w="130" w:type="dxa"/>
              <w:bottom w:w="120" w:type="dxa"/>
              <w:end w:w="130" w:type="dxa"/>
            </w:tcMar>
            <w:vAlign w:val="center"/>
          </w:tcPr>
          <w:p>
            <w:pPr>
              <w:jc w:val="center"/>
            </w:pPr>
            <w:r>
              <w:rPr>
                <w:rFonts w:ascii="Arial" w:hAnsi="Arial"/>
                <w:b/>
                <w:color w:val="FFFFFF"/>
                <w:sz w:val="18"/>
              </w:rPr>
              <w:t>Representative fields</w:t>
            </w:r>
          </w:p>
        </w:tc>
        <w:tc>
          <w:tcPr>
            <w:tcW w:type="dxa" w:w="1512"/>
            <w:shd w:fill="4A4A4A"/>
            <w:tcMar>
              <w:top w:w="120" w:type="dxa"/>
              <w:start w:w="130" w:type="dxa"/>
              <w:bottom w:w="120" w:type="dxa"/>
              <w:end w:w="130" w:type="dxa"/>
            </w:tcMar>
            <w:vAlign w:val="center"/>
          </w:tcPr>
          <w:p>
            <w:pPr>
              <w:jc w:val="center"/>
            </w:pPr>
            <w:r>
              <w:rPr>
                <w:rFonts w:ascii="Arial" w:hAnsi="Arial"/>
                <w:b/>
                <w:color w:val="FFFFFF"/>
                <w:sz w:val="18"/>
              </w:rPr>
              <w:t>References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api_idempotency_records</w:t>
            </w:r>
          </w:p>
        </w:tc>
        <w:tc>
          <w:tcPr>
            <w:tcW w:type="dxa" w:w="3672"/>
            <w:tcMar>
              <w:top w:w="105" w:type="dxa"/>
              <w:start w:w="130" w:type="dxa"/>
              <w:bottom w:w="105" w:type="dxa"/>
              <w:end w:w="130" w:type="dxa"/>
            </w:tcMar>
            <w:vAlign w:val="center"/>
          </w:tcPr>
          <w:p>
            <w:pPr>
              <w:jc w:val="left"/>
            </w:pPr>
            <w:r>
              <w:rPr>
                <w:rFonts w:ascii="Arial" w:hAnsi="Arial"/>
                <w:color w:val="171717"/>
                <w:sz w:val="16"/>
              </w:rPr>
              <w:t>Prevents duplicate processing of retryable API operations.</w:t>
            </w:r>
          </w:p>
        </w:tc>
        <w:tc>
          <w:tcPr>
            <w:tcW w:type="dxa" w:w="2232"/>
            <w:tcMar>
              <w:top w:w="105" w:type="dxa"/>
              <w:start w:w="130" w:type="dxa"/>
              <w:bottom w:w="105" w:type="dxa"/>
              <w:end w:w="130" w:type="dxa"/>
            </w:tcMar>
            <w:vAlign w:val="center"/>
          </w:tcPr>
          <w:p>
            <w:pPr>
              <w:jc w:val="left"/>
            </w:pPr>
            <w:r>
              <w:rPr>
                <w:rFonts w:ascii="Arial" w:hAnsi="Arial"/>
                <w:color w:val="171717"/>
                <w:sz w:val="16"/>
              </w:rPr>
              <w:t>scope_type, scope_id, operation, idempotency_key, request_hash, state</w:t>
            </w:r>
          </w:p>
        </w:tc>
        <w:tc>
          <w:tcPr>
            <w:tcW w:type="dxa" w:w="1512"/>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webhook_events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Protects provider webhook processing against replay and duplicate delivery.</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provider, provider_event_id, event_type, signature_valid, payload_redacted, payload_hash</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outbox_events</w:t>
            </w:r>
          </w:p>
        </w:tc>
        <w:tc>
          <w:tcPr>
            <w:tcW w:type="dxa" w:w="3672"/>
            <w:tcMar>
              <w:top w:w="105" w:type="dxa"/>
              <w:start w:w="130" w:type="dxa"/>
              <w:bottom w:w="105" w:type="dxa"/>
              <w:end w:w="130" w:type="dxa"/>
            </w:tcMar>
            <w:vAlign w:val="center"/>
          </w:tcPr>
          <w:p>
            <w:pPr>
              <w:jc w:val="left"/>
            </w:pPr>
            <w:r>
              <w:rPr>
                <w:rFonts w:ascii="Arial" w:hAnsi="Arial"/>
                <w:color w:val="171717"/>
                <w:sz w:val="16"/>
              </w:rPr>
              <w:t>Queues events transactionally for reliable downstream publication.</w:t>
            </w:r>
          </w:p>
        </w:tc>
        <w:tc>
          <w:tcPr>
            <w:tcW w:type="dxa" w:w="2232"/>
            <w:tcMar>
              <w:top w:w="105" w:type="dxa"/>
              <w:start w:w="130" w:type="dxa"/>
              <w:bottom w:w="105" w:type="dxa"/>
              <w:end w:w="130" w:type="dxa"/>
            </w:tcMar>
            <w:vAlign w:val="center"/>
          </w:tcPr>
          <w:p>
            <w:pPr>
              <w:jc w:val="left"/>
            </w:pPr>
            <w:r>
              <w:rPr>
                <w:rFonts w:ascii="Arial" w:hAnsi="Arial"/>
                <w:color w:val="171717"/>
                <w:sz w:val="16"/>
              </w:rPr>
              <w:t>aggregate_type, aggregate_id, event_type, event_version, payload, occurred_at</w:t>
            </w:r>
          </w:p>
        </w:tc>
        <w:tc>
          <w:tcPr>
            <w:tcW w:type="dxa" w:w="1512"/>
            <w:tcMar>
              <w:top w:w="105" w:type="dxa"/>
              <w:start w:w="130" w:type="dxa"/>
              <w:bottom w:w="105" w:type="dxa"/>
              <w:end w:w="130" w:type="dxa"/>
            </w:tcMar>
            <w:vAlign w:val="center"/>
          </w:tcPr>
          <w:p>
            <w:pPr>
              <w:jc w:val="left"/>
            </w:pPr>
            <w:r>
              <w:rPr>
                <w:rFonts w:ascii="Arial" w:hAnsi="Arial"/>
                <w:color w:val="171717"/>
                <w:sz w:val="16"/>
              </w:rPr>
              <w:t>None</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audit_logs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Records security-sensitive and administrative activity.</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actor_user_id, actor_type, action, entity_type, entity_id, campus_id</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app_users, campuses, canteens, outlets</w:t>
            </w:r>
          </w:p>
        </w:tc>
      </w:tr>
      <w:tr>
        <w:trPr>
          <w:cantSplit w:val="true"/>
        </w:trPr>
        <w:tc>
          <w:tcPr>
            <w:tcW w:type="dxa" w:w="2232"/>
            <w:tcMar>
              <w:top w:w="105" w:type="dxa"/>
              <w:start w:w="130" w:type="dxa"/>
              <w:bottom w:w="105" w:type="dxa"/>
              <w:end w:w="130" w:type="dxa"/>
            </w:tcMar>
            <w:vAlign w:val="center"/>
          </w:tcPr>
          <w:p>
            <w:pPr>
              <w:jc w:val="left"/>
            </w:pPr>
            <w:r>
              <w:rPr>
                <w:rFonts w:ascii="Arial" w:hAnsi="Arial"/>
                <w:color w:val="171717"/>
                <w:sz w:val="16"/>
              </w:rPr>
              <w:t>data_subject_requests</w:t>
            </w:r>
          </w:p>
        </w:tc>
        <w:tc>
          <w:tcPr>
            <w:tcW w:type="dxa" w:w="3672"/>
            <w:tcMar>
              <w:top w:w="105" w:type="dxa"/>
              <w:start w:w="130" w:type="dxa"/>
              <w:bottom w:w="105" w:type="dxa"/>
              <w:end w:w="130" w:type="dxa"/>
            </w:tcMar>
            <w:vAlign w:val="center"/>
          </w:tcPr>
          <w:p>
            <w:pPr>
              <w:jc w:val="left"/>
            </w:pPr>
            <w:r>
              <w:rPr>
                <w:rFonts w:ascii="Arial" w:hAnsi="Arial"/>
                <w:color w:val="171717"/>
                <w:sz w:val="16"/>
              </w:rPr>
              <w:t>Tracks privacy access correction or deletion requests.</w:t>
            </w:r>
          </w:p>
        </w:tc>
        <w:tc>
          <w:tcPr>
            <w:tcW w:type="dxa" w:w="2232"/>
            <w:tcMar>
              <w:top w:w="105" w:type="dxa"/>
              <w:start w:w="130" w:type="dxa"/>
              <w:bottom w:w="105" w:type="dxa"/>
              <w:end w:w="130" w:type="dxa"/>
            </w:tcMar>
            <w:vAlign w:val="center"/>
          </w:tcPr>
          <w:p>
            <w:pPr>
              <w:jc w:val="left"/>
            </w:pPr>
            <w:r>
              <w:rPr>
                <w:rFonts w:ascii="Arial" w:hAnsi="Arial"/>
                <w:color w:val="171717"/>
                <w:sz w:val="16"/>
              </w:rPr>
              <w:t>user_id, request_type, status, verification_method, requested_at, due_at</w:t>
            </w:r>
          </w:p>
        </w:tc>
        <w:tc>
          <w:tcPr>
            <w:tcW w:type="dxa" w:w="1512"/>
            <w:tcMar>
              <w:top w:w="105" w:type="dxa"/>
              <w:start w:w="130" w:type="dxa"/>
              <w:bottom w:w="105" w:type="dxa"/>
              <w:end w:w="130" w:type="dxa"/>
            </w:tcMar>
            <w:vAlign w:val="center"/>
          </w:tcPr>
          <w:p>
            <w:pPr>
              <w:jc w:val="left"/>
            </w:pPr>
            <w:r>
              <w:rPr>
                <w:rFonts w:ascii="Arial" w:hAnsi="Arial"/>
                <w:color w:val="171717"/>
                <w:sz w:val="16"/>
              </w:rPr>
              <w:t>app_users</w:t>
            </w:r>
          </w:p>
        </w:tc>
      </w:tr>
      <w:tr>
        <w:trPr>
          <w:cantSplit w:val="true"/>
        </w:trPr>
        <w:tc>
          <w:tcPr>
            <w:tcW w:type="dxa" w:w="2232"/>
            <w:shd w:fill="F6F6F4"/>
            <w:tcMar>
              <w:top w:w="105" w:type="dxa"/>
              <w:start w:w="130" w:type="dxa"/>
              <w:bottom w:w="105" w:type="dxa"/>
              <w:end w:w="130" w:type="dxa"/>
            </w:tcMar>
            <w:vAlign w:val="center"/>
          </w:tcPr>
          <w:p>
            <w:pPr>
              <w:jc w:val="left"/>
            </w:pPr>
            <w:r>
              <w:rPr>
                <w:rFonts w:ascii="Arial" w:hAnsi="Arial"/>
                <w:color w:val="171717"/>
                <w:sz w:val="16"/>
              </w:rPr>
              <w:t>login_challenges</w:t>
            </w:r>
          </w:p>
        </w:tc>
        <w:tc>
          <w:tcPr>
            <w:tcW w:type="dxa" w:w="3672"/>
            <w:shd w:fill="F6F6F4"/>
            <w:tcMar>
              <w:top w:w="105" w:type="dxa"/>
              <w:start w:w="130" w:type="dxa"/>
              <w:bottom w:w="105" w:type="dxa"/>
              <w:end w:w="130" w:type="dxa"/>
            </w:tcMar>
            <w:vAlign w:val="center"/>
          </w:tcPr>
          <w:p>
            <w:pPr>
              <w:jc w:val="left"/>
            </w:pPr>
            <w:r>
              <w:rPr>
                <w:rFonts w:ascii="Arial" w:hAnsi="Arial"/>
                <w:color w:val="171717"/>
                <w:sz w:val="16"/>
              </w:rPr>
              <w:t>Stores expiring OTP or login verification challenges.</w:t>
            </w:r>
          </w:p>
        </w:tc>
        <w:tc>
          <w:tcPr>
            <w:tcW w:type="dxa" w:w="2232"/>
            <w:shd w:fill="F6F6F4"/>
            <w:tcMar>
              <w:top w:w="105" w:type="dxa"/>
              <w:start w:w="130" w:type="dxa"/>
              <w:bottom w:w="105" w:type="dxa"/>
              <w:end w:w="130" w:type="dxa"/>
            </w:tcMar>
            <w:vAlign w:val="center"/>
          </w:tcPr>
          <w:p>
            <w:pPr>
              <w:jc w:val="left"/>
            </w:pPr>
            <w:r>
              <w:rPr>
                <w:rFonts w:ascii="Arial" w:hAnsi="Arial"/>
                <w:color w:val="171717"/>
                <w:sz w:val="16"/>
              </w:rPr>
              <w:t>channel, destination_hash, provider_reference, code_hash, purpose, attempts</w:t>
            </w:r>
          </w:p>
        </w:tc>
        <w:tc>
          <w:tcPr>
            <w:tcW w:type="dxa" w:w="1512"/>
            <w:shd w:fill="F6F6F4"/>
            <w:tcMar>
              <w:top w:w="105" w:type="dxa"/>
              <w:start w:w="130" w:type="dxa"/>
              <w:bottom w:w="105" w:type="dxa"/>
              <w:end w:w="130" w:type="dxa"/>
            </w:tcMar>
            <w:vAlign w:val="center"/>
          </w:tcPr>
          <w:p>
            <w:pPr>
              <w:jc w:val="left"/>
            </w:pPr>
            <w:r>
              <w:rPr>
                <w:rFonts w:ascii="Arial" w:hAnsi="Arial"/>
                <w:color w:val="171717"/>
                <w:sz w:val="16"/>
              </w:rPr>
              <w:t>None</w:t>
            </w:r>
          </w:p>
        </w:tc>
      </w:tr>
    </w:tbl>
    <w:p>
      <w:pPr>
        <w:spacing w:after="20"/>
      </w:pPr>
    </w:p>
    <w:p>
      <w:pPr>
        <w:pStyle w:val="Heading1"/>
      </w:pPr>
      <w:r>
        <w:t>Source and maintenance notes</w:t>
      </w:r>
    </w:p>
    <w:p>
      <w:r>
        <w:t>The authoritative implementation is the ordered SQL under apps backend database migrations. The Markdown database architecture API security testing decisions and known issues documents explain policy and scope. If a schema migration changes behavior, these references and this handbook should be regenerated in the same change.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cantSplit w:val="true"/>
        </w:trPr>
        <w:tc>
          <w:tcPr>
            <w:tcW w:type="dxa" w:w="2880"/>
            <w:shd w:fill="4A4A4A"/>
            <w:tcMar>
              <w:top w:w="120" w:type="dxa"/>
              <w:start w:w="130" w:type="dxa"/>
              <w:bottom w:w="120" w:type="dxa"/>
              <w:end w:w="130" w:type="dxa"/>
            </w:tcMar>
            <w:vAlign w:val="center"/>
          </w:tcPr>
          <w:p>
            <w:pPr>
              <w:jc w:val="center"/>
            </w:pPr>
            <w:r>
              <w:rPr>
                <w:rFonts w:ascii="Arial" w:hAnsi="Arial"/>
                <w:b/>
                <w:color w:val="FFFFFF"/>
                <w:sz w:val="18"/>
              </w:rPr>
              <w:t>Reference</w:t>
            </w:r>
          </w:p>
        </w:tc>
        <w:tc>
          <w:tcPr>
            <w:tcW w:type="dxa" w:w="6552"/>
            <w:shd w:fill="4A4A4A"/>
            <w:tcMar>
              <w:top w:w="120" w:type="dxa"/>
              <w:start w:w="130" w:type="dxa"/>
              <w:bottom w:w="120" w:type="dxa"/>
              <w:end w:w="130" w:type="dxa"/>
            </w:tcMar>
            <w:vAlign w:val="center"/>
          </w:tcPr>
          <w:p>
            <w:pPr>
              <w:jc w:val="center"/>
            </w:pPr>
            <w:r>
              <w:rPr>
                <w:rFonts w:ascii="Arial" w:hAnsi="Arial"/>
                <w:b/>
                <w:color w:val="FFFFFF"/>
                <w:sz w:val="18"/>
              </w:rPr>
              <w:t>Project location</w:t>
            </w:r>
          </w:p>
        </w:tc>
      </w:tr>
      <w:tr>
        <w:trPr>
          <w:cantSplit w:val="true"/>
        </w:trPr>
        <w:tc>
          <w:tcPr>
            <w:tcW w:type="dxa" w:w="2880"/>
            <w:tcMar>
              <w:top w:w="105" w:type="dxa"/>
              <w:start w:w="130" w:type="dxa"/>
              <w:bottom w:w="105" w:type="dxa"/>
              <w:end w:w="130" w:type="dxa"/>
            </w:tcMar>
            <w:vAlign w:val="center"/>
          </w:tcPr>
          <w:p>
            <w:pPr>
              <w:jc w:val="left"/>
            </w:pPr>
            <w:r>
              <w:rPr>
                <w:rFonts w:ascii="Arial" w:hAnsi="Arial"/>
                <w:color w:val="171717"/>
                <w:sz w:val="18"/>
              </w:rPr>
              <w:t>Database implementation</w:t>
            </w:r>
          </w:p>
        </w:tc>
        <w:tc>
          <w:tcPr>
            <w:tcW w:type="dxa" w:w="6552"/>
            <w:tcMar>
              <w:top w:w="105" w:type="dxa"/>
              <w:start w:w="130" w:type="dxa"/>
              <w:bottom w:w="105" w:type="dxa"/>
              <w:end w:w="130" w:type="dxa"/>
            </w:tcMar>
            <w:vAlign w:val="center"/>
          </w:tcPr>
          <w:p>
            <w:pPr>
              <w:jc w:val="left"/>
            </w:pPr>
            <w:r>
              <w:rPr>
                <w:rFonts w:ascii="Arial" w:hAnsi="Arial"/>
                <w:color w:val="171717"/>
                <w:sz w:val="18"/>
              </w:rPr>
              <w:t>apps/backend/database/migrations</w:t>
            </w:r>
          </w:p>
        </w:tc>
      </w:tr>
      <w:tr>
        <w:trPr>
          <w:cantSplit w:val="true"/>
        </w:trPr>
        <w:tc>
          <w:tcPr>
            <w:tcW w:type="dxa" w:w="2880"/>
            <w:shd w:fill="F6F6F4"/>
            <w:tcMar>
              <w:top w:w="105" w:type="dxa"/>
              <w:start w:w="130" w:type="dxa"/>
              <w:bottom w:w="105" w:type="dxa"/>
              <w:end w:w="130" w:type="dxa"/>
            </w:tcMar>
            <w:vAlign w:val="center"/>
          </w:tcPr>
          <w:p>
            <w:pPr>
              <w:jc w:val="left"/>
            </w:pPr>
            <w:r>
              <w:rPr>
                <w:rFonts w:ascii="Arial" w:hAnsi="Arial"/>
                <w:color w:val="171717"/>
                <w:sz w:val="18"/>
              </w:rPr>
              <w:t>Migration runner</w:t>
            </w:r>
          </w:p>
        </w:tc>
        <w:tc>
          <w:tcPr>
            <w:tcW w:type="dxa" w:w="6552"/>
            <w:shd w:fill="F6F6F4"/>
            <w:tcMar>
              <w:top w:w="105" w:type="dxa"/>
              <w:start w:w="130" w:type="dxa"/>
              <w:bottom w:w="105" w:type="dxa"/>
              <w:end w:w="130" w:type="dxa"/>
            </w:tcMar>
            <w:vAlign w:val="center"/>
          </w:tcPr>
          <w:p>
            <w:pPr>
              <w:jc w:val="left"/>
            </w:pPr>
            <w:r>
              <w:rPr>
                <w:rFonts w:ascii="Arial" w:hAnsi="Arial"/>
                <w:color w:val="171717"/>
                <w:sz w:val="18"/>
              </w:rPr>
              <w:t>apps/backend/database/scripts/Invoke-Database.ps1</w:t>
            </w:r>
          </w:p>
        </w:tc>
      </w:tr>
      <w:tr>
        <w:trPr>
          <w:cantSplit w:val="true"/>
        </w:trPr>
        <w:tc>
          <w:tcPr>
            <w:tcW w:type="dxa" w:w="2880"/>
            <w:tcMar>
              <w:top w:w="105" w:type="dxa"/>
              <w:start w:w="130" w:type="dxa"/>
              <w:bottom w:w="105" w:type="dxa"/>
              <w:end w:w="130" w:type="dxa"/>
            </w:tcMar>
            <w:vAlign w:val="center"/>
          </w:tcPr>
          <w:p>
            <w:pPr>
              <w:jc w:val="left"/>
            </w:pPr>
            <w:r>
              <w:rPr>
                <w:rFonts w:ascii="Arial" w:hAnsi="Arial"/>
                <w:color w:val="171717"/>
                <w:sz w:val="18"/>
              </w:rPr>
              <w:t>Schema smoke test</w:t>
            </w:r>
          </w:p>
        </w:tc>
        <w:tc>
          <w:tcPr>
            <w:tcW w:type="dxa" w:w="6552"/>
            <w:tcMar>
              <w:top w:w="105" w:type="dxa"/>
              <w:start w:w="130" w:type="dxa"/>
              <w:bottom w:w="105" w:type="dxa"/>
              <w:end w:w="130" w:type="dxa"/>
            </w:tcMar>
            <w:vAlign w:val="center"/>
          </w:tcPr>
          <w:p>
            <w:pPr>
              <w:jc w:val="left"/>
            </w:pPr>
            <w:r>
              <w:rPr>
                <w:rFonts w:ascii="Arial" w:hAnsi="Arial"/>
                <w:color w:val="171717"/>
                <w:sz w:val="18"/>
              </w:rPr>
              <w:t>apps/backend/database/tests/schema_smoke_test.sql</w:t>
            </w:r>
          </w:p>
        </w:tc>
      </w:tr>
      <w:tr>
        <w:trPr>
          <w:cantSplit w:val="true"/>
        </w:trPr>
        <w:tc>
          <w:tcPr>
            <w:tcW w:type="dxa" w:w="2880"/>
            <w:shd w:fill="F6F6F4"/>
            <w:tcMar>
              <w:top w:w="105" w:type="dxa"/>
              <w:start w:w="130" w:type="dxa"/>
              <w:bottom w:w="105" w:type="dxa"/>
              <w:end w:w="130" w:type="dxa"/>
            </w:tcMar>
            <w:vAlign w:val="center"/>
          </w:tcPr>
          <w:p>
            <w:pPr>
              <w:jc w:val="left"/>
            </w:pPr>
            <w:r>
              <w:rPr>
                <w:rFonts w:ascii="Arial" w:hAnsi="Arial"/>
                <w:color w:val="171717"/>
                <w:sz w:val="18"/>
              </w:rPr>
              <w:t>Database guide</w:t>
            </w:r>
          </w:p>
        </w:tc>
        <w:tc>
          <w:tcPr>
            <w:tcW w:type="dxa" w:w="6552"/>
            <w:shd w:fill="F6F6F4"/>
            <w:tcMar>
              <w:top w:w="105" w:type="dxa"/>
              <w:start w:w="130" w:type="dxa"/>
              <w:bottom w:w="105" w:type="dxa"/>
              <w:end w:w="130" w:type="dxa"/>
            </w:tcMar>
            <w:vAlign w:val="center"/>
          </w:tcPr>
          <w:p>
            <w:pPr>
              <w:jc w:val="left"/>
            </w:pPr>
            <w:r>
              <w:rPr>
                <w:rFonts w:ascii="Arial" w:hAnsi="Arial"/>
                <w:color w:val="171717"/>
                <w:sz w:val="18"/>
              </w:rPr>
              <w:t>docs/DATABASE.md</w:t>
            </w:r>
          </w:p>
        </w:tc>
      </w:tr>
      <w:tr>
        <w:trPr>
          <w:cantSplit w:val="true"/>
        </w:trPr>
        <w:tc>
          <w:tcPr>
            <w:tcW w:type="dxa" w:w="2880"/>
            <w:tcMar>
              <w:top w:w="105" w:type="dxa"/>
              <w:start w:w="130" w:type="dxa"/>
              <w:bottom w:w="105" w:type="dxa"/>
              <w:end w:w="130" w:type="dxa"/>
            </w:tcMar>
            <w:vAlign w:val="center"/>
          </w:tcPr>
          <w:p>
            <w:pPr>
              <w:jc w:val="left"/>
            </w:pPr>
            <w:r>
              <w:rPr>
                <w:rFonts w:ascii="Arial" w:hAnsi="Arial"/>
                <w:color w:val="171717"/>
                <w:sz w:val="18"/>
              </w:rPr>
              <w:t>Architecture</w:t>
            </w:r>
          </w:p>
        </w:tc>
        <w:tc>
          <w:tcPr>
            <w:tcW w:type="dxa" w:w="6552"/>
            <w:tcMar>
              <w:top w:w="105" w:type="dxa"/>
              <w:start w:w="130" w:type="dxa"/>
              <w:bottom w:w="105" w:type="dxa"/>
              <w:end w:w="130" w:type="dxa"/>
            </w:tcMar>
            <w:vAlign w:val="center"/>
          </w:tcPr>
          <w:p>
            <w:pPr>
              <w:jc w:val="left"/>
            </w:pPr>
            <w:r>
              <w:rPr>
                <w:rFonts w:ascii="Arial" w:hAnsi="Arial"/>
                <w:color w:val="171717"/>
                <w:sz w:val="18"/>
              </w:rPr>
              <w:t>docs/ARCHITECTURE.md</w:t>
            </w:r>
          </w:p>
        </w:tc>
      </w:tr>
      <w:tr>
        <w:trPr>
          <w:cantSplit w:val="true"/>
        </w:trPr>
        <w:tc>
          <w:tcPr>
            <w:tcW w:type="dxa" w:w="2880"/>
            <w:shd w:fill="F6F6F4"/>
            <w:tcMar>
              <w:top w:w="105" w:type="dxa"/>
              <w:start w:w="130" w:type="dxa"/>
              <w:bottom w:w="105" w:type="dxa"/>
              <w:end w:w="130" w:type="dxa"/>
            </w:tcMar>
            <w:vAlign w:val="center"/>
          </w:tcPr>
          <w:p>
            <w:pPr>
              <w:jc w:val="left"/>
            </w:pPr>
            <w:r>
              <w:rPr>
                <w:rFonts w:ascii="Arial" w:hAnsi="Arial"/>
                <w:color w:val="171717"/>
                <w:sz w:val="18"/>
              </w:rPr>
              <w:t>Security</w:t>
            </w:r>
          </w:p>
        </w:tc>
        <w:tc>
          <w:tcPr>
            <w:tcW w:type="dxa" w:w="6552"/>
            <w:shd w:fill="F6F6F4"/>
            <w:tcMar>
              <w:top w:w="105" w:type="dxa"/>
              <w:start w:w="130" w:type="dxa"/>
              <w:bottom w:w="105" w:type="dxa"/>
              <w:end w:w="130" w:type="dxa"/>
            </w:tcMar>
            <w:vAlign w:val="center"/>
          </w:tcPr>
          <w:p>
            <w:pPr>
              <w:jc w:val="left"/>
            </w:pPr>
            <w:r>
              <w:rPr>
                <w:rFonts w:ascii="Arial" w:hAnsi="Arial"/>
                <w:color w:val="171717"/>
                <w:sz w:val="18"/>
              </w:rPr>
              <w:t>docs/SECURITY.md</w:t>
            </w:r>
          </w:p>
        </w:tc>
      </w:tr>
      <w:tr>
        <w:trPr>
          <w:cantSplit w:val="true"/>
        </w:trPr>
        <w:tc>
          <w:tcPr>
            <w:tcW w:type="dxa" w:w="2880"/>
            <w:tcMar>
              <w:top w:w="105" w:type="dxa"/>
              <w:start w:w="130" w:type="dxa"/>
              <w:bottom w:w="105" w:type="dxa"/>
              <w:end w:w="130" w:type="dxa"/>
            </w:tcMar>
            <w:vAlign w:val="center"/>
          </w:tcPr>
          <w:p>
            <w:pPr>
              <w:jc w:val="left"/>
            </w:pPr>
            <w:r>
              <w:rPr>
                <w:rFonts w:ascii="Arial" w:hAnsi="Arial"/>
                <w:color w:val="171717"/>
                <w:sz w:val="18"/>
              </w:rPr>
              <w:t>Testing</w:t>
            </w:r>
          </w:p>
        </w:tc>
        <w:tc>
          <w:tcPr>
            <w:tcW w:type="dxa" w:w="6552"/>
            <w:tcMar>
              <w:top w:w="105" w:type="dxa"/>
              <w:start w:w="130" w:type="dxa"/>
              <w:bottom w:w="105" w:type="dxa"/>
              <w:end w:w="130" w:type="dxa"/>
            </w:tcMar>
            <w:vAlign w:val="center"/>
          </w:tcPr>
          <w:p>
            <w:pPr>
              <w:jc w:val="left"/>
            </w:pPr>
            <w:r>
              <w:rPr>
                <w:rFonts w:ascii="Arial" w:hAnsi="Arial"/>
                <w:color w:val="171717"/>
                <w:sz w:val="18"/>
              </w:rPr>
              <w:t>docs/TESTING.md</w:t>
            </w:r>
          </w:p>
        </w:tc>
      </w:tr>
      <w:tr>
        <w:trPr>
          <w:cantSplit w:val="true"/>
        </w:trPr>
        <w:tc>
          <w:tcPr>
            <w:tcW w:type="dxa" w:w="2880"/>
            <w:shd w:fill="F6F6F4"/>
            <w:tcMar>
              <w:top w:w="105" w:type="dxa"/>
              <w:start w:w="130" w:type="dxa"/>
              <w:bottom w:w="105" w:type="dxa"/>
              <w:end w:w="130" w:type="dxa"/>
            </w:tcMar>
            <w:vAlign w:val="center"/>
          </w:tcPr>
          <w:p>
            <w:pPr>
              <w:jc w:val="left"/>
            </w:pPr>
            <w:r>
              <w:rPr>
                <w:rFonts w:ascii="Arial" w:hAnsi="Arial"/>
                <w:color w:val="171717"/>
                <w:sz w:val="18"/>
              </w:rPr>
              <w:t>Decisions and TBDs</w:t>
            </w:r>
          </w:p>
        </w:tc>
        <w:tc>
          <w:tcPr>
            <w:tcW w:type="dxa" w:w="6552"/>
            <w:shd w:fill="F6F6F4"/>
            <w:tcMar>
              <w:top w:w="105" w:type="dxa"/>
              <w:start w:w="130" w:type="dxa"/>
              <w:bottom w:w="105" w:type="dxa"/>
              <w:end w:w="130" w:type="dxa"/>
            </w:tcMar>
            <w:vAlign w:val="center"/>
          </w:tcPr>
          <w:p>
            <w:pPr>
              <w:jc w:val="left"/>
            </w:pPr>
            <w:r>
              <w:rPr>
                <w:rFonts w:ascii="Arial" w:hAnsi="Arial"/>
                <w:color w:val="171717"/>
                <w:sz w:val="18"/>
              </w:rPr>
              <w:t>docs/DECISIONS.md and docs/KNOWN_ISSUES.md</w:t>
            </w:r>
          </w:p>
        </w:tc>
      </w:tr>
    </w:tbl>
    <w:p>
      <w:pPr>
        <w:spacing w:after="20"/>
      </w:pPr>
    </w:p>
    <w:p>
      <w:r>
        <w:t>Document status: database foundation implemented and locally verified on 14 September 2026. Application APIs provider integrations and launch policies are not implied by schema presence and remain governed by the project decision log.</w:t>
      </w:r>
    </w:p>
    <w:sectPr w:rsidR="00FC693F" w:rsidRPr="0006063C" w:rsidSect="00034616">
      <w:headerReference w:type="default" r:id="rId12"/>
      <w:footerReference w:type="default" r:id="rId13"/>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6B6B"/>
        <w:sz w:val="16"/>
      </w:rPr>
      <w:t xml:space="preserve">Mealy platform database  •  </w:t>
    </w:r>
    <w:r>
      <w:rPr>
        <w:rFonts w:ascii="Arial" w:hAnsi="Arial"/>
        <w:color w:val="6B6B6B"/>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8280"/>
      <w:gridCol w:w="1584"/>
    </w:tblGrid>
    <w:tr>
      <w:tc>
        <w:tcPr>
          <w:tcW w:type="dxa" w:w="4932"/>
          <w:tcMar>
            <w:top w:w="0" w:type="dxa"/>
            <w:start w:w="0" w:type="dxa"/>
            <w:bottom w:w="0" w:type="dxa"/>
            <w:end w:w="0" w:type="dxa"/>
          </w:tcMar>
        </w:tcPr>
        <w:p>
          <w:pPr>
            <w:jc w:val="left"/>
          </w:pPr>
          <w:r>
            <w:rPr>
              <w:rFonts w:ascii="Arial" w:hAnsi="Arial"/>
              <w:b/>
              <w:color w:val="6B6B6B"/>
              <w:sz w:val="16"/>
            </w:rPr>
            <w:t>MEALY DATABASE HANDBOOK</w:t>
          </w:r>
        </w:p>
      </w:tc>
      <w:tc>
        <w:tcPr>
          <w:tcW w:type="dxa" w:w="4932"/>
          <w:tcMar>
            <w:top w:w="0" w:type="dxa"/>
            <w:start w:w="0" w:type="dxa"/>
            <w:bottom w:w="0" w:type="dxa"/>
            <w:end w:w="0" w:type="dxa"/>
          </w:tcMar>
        </w:tcPr>
        <w:p>
          <w:pPr>
            <w:jc w:val="right"/>
          </w:pPr>
          <w:r>
            <w:drawing>
              <wp:inline xmlns:a="http://schemas.openxmlformats.org/drawingml/2006/main" xmlns:pic="http://schemas.openxmlformats.org/drawingml/2006/picture">
                <wp:extent cx="658368" cy="254945"/>
                <wp:docPr id="1" name="Picture 1" descr="Mealy logo"/>
                <wp:cNvGraphicFramePr>
                  <a:graphicFrameLocks noChangeAspect="1"/>
                </wp:cNvGraphicFramePr>
                <a:graphic>
                  <a:graphicData uri="http://schemas.openxmlformats.org/drawingml/2006/picture">
                    <pic:pic>
                      <pic:nvPicPr>
                        <pic:cNvPr id="0" name="mealy-logo-cropped.png"/>
                        <pic:cNvPicPr/>
                      </pic:nvPicPr>
                      <pic:blipFill>
                        <a:blip r:embed="rId1"/>
                        <a:stretch>
                          <a:fillRect/>
                        </a:stretch>
                      </pic:blipFill>
                      <pic:spPr>
                        <a:xfrm>
                          <a:off x="0" y="0"/>
                          <a:ext cx="658368" cy="254945"/>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Mealy Database Handbook</dc:title>
  <dc:subject>Mealy PostgreSQL database architecture and implementation reference</dc:subject>
  <dc:creator>Mealy</dc:creator>
  <cp:keywords>Mealy, PostgreSQL, database, POS, student ordering, KOT, tokens, payments</cp:keywords>
  <dc:description>generated by python-docx</dc:description>
  <cp:lastModifiedBy/>
  <cp:revision>1</cp:revision>
  <dcterms:created xsi:type="dcterms:W3CDTF">2013-12-23T23:15:00Z</dcterms:created>
  <dcterms:modified xsi:type="dcterms:W3CDTF">2013-12-23T23:15:00Z</dcterms:modified>
  <cp:category/>
</cp:coreProperties>
</file>