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6"/>
        </w:rPr>
        <w:t>HYBRID DEEP LEARNING AND PHYSICS-INFORMED NEURAL NETWORK</w:t>
        <w:br/>
        <w:t>FOR BRAIN TUMOR GROWTH PREDICTION</w:t>
      </w:r>
    </w:p>
    <w:p/>
    <w:p/>
    <w:p>
      <w:pPr>
        <w:jc w:val="center"/>
      </w:pPr>
      <w:r>
        <w:rPr>
          <w:rFonts w:ascii="Times New Roman" w:hAnsi="Times New Roman"/>
          <w:sz w:val="24"/>
        </w:rPr>
        <w:t>Minor Project Report</w:t>
        <w:br/>
        <w:br/>
        <w:t>Submitted in partial fulfillment of the requirements for the degree of</w:t>
        <w:br/>
        <w:t>Bachelor of Technology in Electronics and Communication Engineering</w:t>
      </w:r>
    </w:p>
    <w:p/>
    <w:p/>
    <w:p/>
    <w:p/>
    <w:p>
      <w:pPr>
        <w:jc w:val="center"/>
      </w:pPr>
      <w:r>
        <w:rPr>
          <w:rFonts w:ascii="Times New Roman" w:hAnsi="Times New Roman"/>
          <w:b/>
          <w:sz w:val="24"/>
        </w:rPr>
        <w:t>Submitted by:</w:t>
        <w:br/>
        <w:t>Harsh Gupta — Scholar No.: 23U01011</w:t>
        <w:br/>
        <w:t>3rd Year | B.Tech ECE</w:t>
        <w:br/>
        <w:br/>
        <w:br/>
        <w:t>Indian Institute of Information Technology Bhopal</w:t>
        <w:br/>
        <w:t>April 2026</w:t>
      </w:r>
    </w:p>
    <w:p>
      <w:r>
        <w:br w:type="page"/>
      </w:r>
    </w:p>
    <w:p>
      <w:pPr>
        <w:spacing w:before="360" w:after="160"/>
        <w:jc w:val="center"/>
      </w:pPr>
      <w:r>
        <w:rPr>
          <w:rFonts w:ascii="Times New Roman" w:hAnsi="Times New Roman"/>
          <w:b/>
          <w:color w:val="000000"/>
          <w:sz w:val="32"/>
        </w:rPr>
        <w:t>ABSTRACT</w:t>
      </w:r>
    </w:p>
    <w:p>
      <w:pPr>
        <w:jc w:val="both"/>
      </w:pPr>
      <w:r>
        <w:t>Brain tumors, particularly high-grade gliomas such as Glioblastoma Multiforme (GBM), remain among the most lethal intracranial malignancies with a median survival of 14–17 months despite multimodal treatment. The primary clinical challenge lies not in detecting a visible tumor, but in predicting how it will grow and infiltrate surrounding tissue before the next imaging appointment. Conventional deep learning systems, however capable at segmentation, are agnostic to the underlying tumor biology and therefore cannot provide reliable growth forecasts.</w:t>
      </w:r>
    </w:p>
    <w:p>
      <w:pPr>
        <w:jc w:val="both"/>
      </w:pPr>
      <w:r>
        <w:t>This project proposes HybridTumorNet, an end-to-end trainable architecture that bridges spatial deep learning with biophysical tumor modeling. The system couples a MONAI 3D ResNet encoder with three parallel decoder heads: (1) a tumor density decoder producing a continuous cell-density field u(x,t); (2) a physics parameter head predicting spatially varying diffusion D(x) and proliferation ρ(x) coefficients; and (3) a segmentation head providing standard BraTS delineation of sub-tumor regions. Training proceeds in two phases: supervised segmentation pre-training on BraTS 2021 data, followed by physics-constrained fine-tuning where the Fisher-KPP reaction-diffusion equation residual is enforced as an additional loss term.</w:t>
      </w:r>
    </w:p>
    <w:p>
      <w:pPr>
        <w:jc w:val="both"/>
      </w:pPr>
      <w:r>
        <w:t>To address the absence of longitudinal training data in BraTS 2021, a numerically stable RK4-based FisherKPPSolver is employed to generate synthetic temporal derivatives from single-timepoint scans. The combined loss function incorporates six terms: data fidelity, PDE residual, initial condition, boundary condition, regularization, and segmentation losses, balanced via learnable uncertainty-weighted parameters.</w:t>
      </w:r>
    </w:p>
    <w:p>
      <w:pPr>
        <w:jc w:val="both"/>
      </w:pPr>
      <w:r>
        <w:t>Experimental results on BraTS 2021 demonstrate competitive segmentation performance (Dice-WT: 0.905, Dice-TC: 0.847, Dice-ET: 0.801) while additionally producing patient-specific biophysical parameters (D ≈ 0.018–0.072 mm²/day; ρ ≈ 0.008–0.031 /day) consistent with clinically reported glioma growth kinetics. The PDE residual loss converges from 0.34 to below 0.008 over 30 fine-tuning epochs, confirming genuine physics compliance.</w:t>
      </w:r>
    </w:p>
    <w:p>
      <w:pPr>
        <w:jc w:val="both"/>
      </w:pPr>
      <w:r>
        <w:t>Keywords: Brain Tumor, Glioma, Physics-Informed Neural Network, MONAI, 3D ResNet, Fisher-KPP, Reaction-Diffusion, BraTS, Tumor Growth Prediction.</w:t>
      </w:r>
    </w:p>
    <w:p>
      <w:r>
        <w:br w:type="page"/>
      </w:r>
    </w:p>
    <w:p>
      <w:pPr>
        <w:spacing w:before="360" w:after="160"/>
        <w:jc w:val="center"/>
      </w:pPr>
      <w:r>
        <w:rPr>
          <w:rFonts w:ascii="Times New Roman" w:hAnsi="Times New Roman"/>
          <w:b/>
          <w:color w:val="000000"/>
          <w:sz w:val="32"/>
        </w:rPr>
        <w:t>1. INTRODUCTION</w:t>
      </w:r>
    </w:p>
    <w:p>
      <w:pPr>
        <w:spacing w:before="280" w:after="120"/>
        <w:jc w:val="left"/>
      </w:pPr>
      <w:r>
        <w:rPr>
          <w:rFonts w:ascii="Times New Roman" w:hAnsi="Times New Roman"/>
          <w:b/>
          <w:color w:val="000000"/>
          <w:sz w:val="28"/>
        </w:rPr>
        <w:t>1.1 Background and Motivation</w:t>
      </w:r>
    </w:p>
    <w:p>
      <w:pPr>
        <w:jc w:val="both"/>
      </w:pPr>
      <w:r>
        <w:t>Brain tumors constitute approximately 2% of all cancers globally, yet they disproportionately contribute to cancer-related morbidity and mortality due to their anatomical location, aggressive growth behavior, and resistance to conventional therapies. The World Health Organization (WHO) classifies brain tumors into grades I–IV, with Grade IV Glioblastoma Multiforme (GBM) representing the most aggressive form. Diffuse gliomas are particularly challenging because the infiltrating tumor margin extends 2–3 cm beyond the enhancing tumor boundary visible on contrast-enhanced MRI, rendering complete surgical resection impossible and causing local recurrence in over 90% of cases.</w:t>
      </w:r>
    </w:p>
    <w:p>
      <w:pPr>
        <w:jc w:val="both"/>
      </w:pPr>
      <w:r>
        <w:t>Standard clinical neuroimaging employs multi-parametric MRI protocols including T1-weighted, contrast-enhanced T1 (T1ce), T2-weighted, and T2-FLAIR sequences to characterize different tumor sub-regions. While AI-driven systems have demonstrated remarkable segmentation accuracy on standardized benchmarks such as BraTS, they answer: where is the tumor now? But the clinically critical question is: where will it be in 30 or 90 days?</w:t>
      </w:r>
    </w:p>
    <w:p>
      <w:pPr>
        <w:spacing w:before="280" w:after="120"/>
        <w:jc w:val="left"/>
      </w:pPr>
      <w:r>
        <w:rPr>
          <w:rFonts w:ascii="Times New Roman" w:hAnsi="Times New Roman"/>
          <w:b/>
          <w:color w:val="000000"/>
          <w:sz w:val="28"/>
        </w:rPr>
        <w:t>1.2 Limitations of Existing Approaches</w:t>
      </w:r>
    </w:p>
    <w:p>
      <w:pPr>
        <w:jc w:val="both"/>
      </w:pPr>
      <w:r>
        <w:t>The state-of-the-art in brain tumor AI can be partitioned into three paradigms. First, pure deep learning systems achieve excellent voxel-wise delineation but produce no prognostic or predictive output. Second, classical biophysical models embed tumor growth equations but require manual parameter fitting per patient and computationally intensive finite-element solvers. Third, early hybrid CNN+PDE approaches couple the two modalities sequentially: the CNN segments, then a classical solver simulates. This sequential pipeline breaks end-to-end differentiability, preventing joint optimization.</w:t>
      </w:r>
    </w:p>
    <w:p>
      <w:pPr>
        <w:spacing w:before="280" w:after="120"/>
        <w:jc w:val="left"/>
      </w:pPr>
      <w:r>
        <w:rPr>
          <w:rFonts w:ascii="Times New Roman" w:hAnsi="Times New Roman"/>
          <w:b/>
          <w:color w:val="000000"/>
          <w:sz w:val="28"/>
        </w:rPr>
        <w:t>1.3 Proposed Approach and Contributions</w:t>
      </w:r>
    </w:p>
    <w:p>
      <w:pPr>
        <w:jc w:val="both"/>
      </w:pPr>
      <w:r>
        <w:t>HybridTumorNet addresses these limitations by embedding the Fisher-KPP PDE residual directly into the neural network loss function. The system learns to extract biophysical parameters D(x) and ρ(x) directly from raw MRI features. The entire pipeline is end-to-end differentiable. Key contributions include:</w:t>
      </w:r>
    </w:p>
    <w:p>
      <w:pPr>
        <w:jc w:val="both"/>
      </w:pPr>
      <w:r>
        <w:t>1. The first end-to-end differentiable architecture coupling a MONAI 3D ResNet encoder with a physics-informed loss enforcing the Fisher-KPP equation on a standardized benchmark.</w:t>
      </w:r>
    </w:p>
    <w:p>
      <w:pPr>
        <w:jc w:val="both"/>
      </w:pPr>
      <w:r>
        <w:t>2. A novel synthetic longitudinal data generation strategy using a CFL-stable RK4 FisherKPPSolver.</w:t>
      </w:r>
    </w:p>
    <w:p>
      <w:pPr>
        <w:jc w:val="both"/>
      </w:pPr>
      <w:r>
        <w:t>3. Tissue-aware spatially heterogeneous diffusion scaling distinguishing white-matter from grey-matter invasion rates.</w:t>
      </w:r>
    </w:p>
    <w:p>
      <w:r>
        <w:br w:type="page"/>
      </w:r>
    </w:p>
    <w:p>
      <w:pPr>
        <w:spacing w:before="360" w:after="160"/>
        <w:jc w:val="center"/>
      </w:pPr>
      <w:r>
        <w:rPr>
          <w:rFonts w:ascii="Times New Roman" w:hAnsi="Times New Roman"/>
          <w:b/>
          <w:color w:val="000000"/>
          <w:sz w:val="32"/>
        </w:rPr>
        <w:t>2. LITERATURE REVIEW</w:t>
      </w:r>
    </w:p>
    <w:p>
      <w:pPr>
        <w:spacing w:before="280" w:after="120"/>
        <w:jc w:val="left"/>
      </w:pPr>
      <w:r>
        <w:rPr>
          <w:rFonts w:ascii="Times New Roman" w:hAnsi="Times New Roman"/>
          <w:b/>
          <w:color w:val="000000"/>
          <w:sz w:val="28"/>
        </w:rPr>
        <w:t>2.1 Classical Mathematical Tumor Growth Models</w:t>
      </w:r>
    </w:p>
    <w:p>
      <w:pPr>
        <w:jc w:val="both"/>
      </w:pPr>
      <w:r>
        <w:t>Swanson et al. (2000) established the foundational mathematical description of glioma invasion using the Fisher-KPP partial differential equation. This formulation captured two fundamental clinical observations: diffuse infiltration into surrounding normal parenchyma and logistic growth saturation. Extending this framework in 2008, they demonstrated patient-specific simulation of tumor trajectories by fitting the PDE solution to sequential MRI measurements. Gooya et al. (2012) proposed GLISTR, coupling atlas-based image registration with biomechanical mass-effect models to simultaneously segment tumor subregions and estimate D and ρ per patient.</w:t>
      </w:r>
    </w:p>
    <w:p>
      <w:pPr>
        <w:spacing w:before="280" w:after="120"/>
        <w:jc w:val="left"/>
      </w:pPr>
      <w:r>
        <w:rPr>
          <w:rFonts w:ascii="Times New Roman" w:hAnsi="Times New Roman"/>
          <w:b/>
          <w:color w:val="000000"/>
          <w:sz w:val="28"/>
        </w:rPr>
        <w:t>2.2 Deep Learning for Brain Tumor Segmentation</w:t>
      </w:r>
    </w:p>
    <w:p>
      <w:pPr>
        <w:jc w:val="both"/>
      </w:pPr>
      <w:r>
        <w:t>The U-Net architecture (Ronneberger et al., 2015) transformed 3D brain tumor segmentation through its encoder-decoder structure with skip connections. Isensee et al. (2021) demonstrated that a systematically configured nnU-Net consistently outperformed hand-tuned architectures. Myronenko (2018) introduced the SegResNet architecture in the MONAI framework, winning the BraTS 2018 challenge and becoming a benchmark architecture. More recently, SwinUNETR (Tang et al., 2022) leveraged global self-attention for long-range spatial dependency modeling.</w:t>
      </w:r>
    </w:p>
    <w:p>
      <w:pPr>
        <w:spacing w:before="280" w:after="120"/>
        <w:jc w:val="left"/>
      </w:pPr>
      <w:r>
        <w:rPr>
          <w:rFonts w:ascii="Times New Roman" w:hAnsi="Times New Roman"/>
          <w:b/>
          <w:color w:val="000000"/>
          <w:sz w:val="28"/>
        </w:rPr>
        <w:t>2.3 Physics-Informed Neural Networks Applied to Brain Tumors</w:t>
      </w:r>
    </w:p>
    <w:p>
      <w:pPr>
        <w:jc w:val="both"/>
      </w:pPr>
      <w:r>
        <w:t>Lê et al. (2021) provided the first direct application of the PINN framework to personalized glioma growth modeling using a multilayer perceptron (MLP). Hormuth et al. (2021) coupled U-Net segmentation with DCE-MRI-derived perfusion parameters and the PDE reaction-diffusion model sequentially. Ezhov et al. (2023) demonstrated that end-to-end joint training of a 3D encoder with a PINN loss outperformed sequential coupling on longitudinal MRI data.</w:t>
      </w:r>
    </w:p>
    <w:p>
      <w:pPr>
        <w:spacing w:before="280" w:after="120"/>
        <w:jc w:val="left"/>
      </w:pPr>
      <w:r>
        <w:rPr>
          <w:rFonts w:ascii="Times New Roman" w:hAnsi="Times New Roman"/>
          <w:b/>
          <w:color w:val="000000"/>
          <w:sz w:val="28"/>
        </w:rPr>
        <w:t>2.4 Research Gap Analysis</w:t>
      </w:r>
    </w:p>
    <w:p>
      <w:pPr>
        <w:jc w:val="both"/>
      </w:pPr>
      <w:r>
        <w:t>The review reveals specific gaps: (1) No published work uses the standardized MONAI 3D ResNet as the backbone for PINN-constrained brain tumor growth prediction on BraTS 2021. (2) Prior PINN approaches either require longitudinal MRI pairs or use a degenerate du/dt formulation. (3) Published hybrid models use scalar D and ρ estimates without incorporating the biophysically validated 5:1 ratio of white-matter to grey-matter diffusivity.</w:t>
      </w:r>
    </w:p>
    <w:p>
      <w:r>
        <w:br w:type="page"/>
      </w:r>
    </w:p>
    <w:p>
      <w:pPr>
        <w:spacing w:before="360" w:after="160"/>
        <w:jc w:val="center"/>
      </w:pPr>
      <w:r>
        <w:rPr>
          <w:rFonts w:ascii="Times New Roman" w:hAnsi="Times New Roman"/>
          <w:b/>
          <w:color w:val="000000"/>
          <w:sz w:val="32"/>
        </w:rPr>
        <w:t>3. PROBLEM DEFINITION AND OBJECTIVES</w:t>
      </w:r>
    </w:p>
    <w:p>
      <w:pPr>
        <w:spacing w:before="280" w:after="120"/>
        <w:jc w:val="left"/>
      </w:pPr>
      <w:r>
        <w:rPr>
          <w:rFonts w:ascii="Times New Roman" w:hAnsi="Times New Roman"/>
          <w:b/>
          <w:color w:val="000000"/>
          <w:sz w:val="28"/>
        </w:rPr>
        <w:t>3.1 Problem Statement</w:t>
      </w:r>
    </w:p>
    <w:p>
      <w:pPr>
        <w:jc w:val="both"/>
      </w:pPr>
      <w:r>
        <w:t>Given a multi-parametric MRI scan (T1, T1ce, T2, FLAIR) of a glioma patient, the problem is to simultaneously: (1) delineate the tumor and its sub-regions with high accuracy; (2) infer the spatially varying biophysical growth parameters (diffusion coefficient D(x) and net proliferation rate ρ(x)) consistent with the Fisher-KPP reaction-diffusion equation; and (3) predict the spatial distribution of tumor cell density at future time points by forward integration of the learned biophysical model within a single end-to-end trainable deep neural network architecture.</w:t>
      </w:r>
    </w:p>
    <w:p>
      <w:pPr>
        <w:spacing w:before="280" w:after="120"/>
        <w:jc w:val="left"/>
      </w:pPr>
      <w:r>
        <w:rPr>
          <w:rFonts w:ascii="Times New Roman" w:hAnsi="Times New Roman"/>
          <w:b/>
          <w:color w:val="000000"/>
          <w:sz w:val="28"/>
        </w:rPr>
        <w:t>3.2 Mathematical Formulation</w:t>
      </w:r>
    </w:p>
    <w:p>
      <w:pPr>
        <w:jc w:val="both"/>
      </w:pPr>
      <w:r>
        <w:t>Let I: Ω → ℝ⁴ denote the 4-channel MRI volume over spatial domain Ω ⊂ ℝ³. The network f_θ: I ↦ {u, D, ρ, s} maps the input to tumor density u: Ω → [0,1], diffusion D: Ω → ℝ₊, proliferation ρ: Ω → ℝ₊, and segmentation s: Ω → {0,1,2,3}. The physics constraint requires that the Fisher-KPP residual R = ∂u/∂t − ∇·(D(x)∇u) − ρ·u·(1−u) ≈ 0 across Ω, subject to no-flux Neumann boundary conditions.</w:t>
      </w:r>
    </w:p>
    <w:p>
      <w:pPr>
        <w:spacing w:before="280" w:after="120"/>
        <w:jc w:val="left"/>
      </w:pPr>
      <w:r>
        <w:rPr>
          <w:rFonts w:ascii="Times New Roman" w:hAnsi="Times New Roman"/>
          <w:b/>
          <w:color w:val="000000"/>
          <w:sz w:val="28"/>
        </w:rPr>
        <w:t>3.3 Objectives</w:t>
      </w:r>
    </w:p>
    <w:p>
      <w:pPr>
        <w:jc w:val="both"/>
      </w:pPr>
      <w:r>
        <w:t>1. Design an end-to-end trainable hybrid architecture combining MONAI 3D ResNet feature extraction with parallel prediction heads for tumor density, physics parameters, and segmentation.</w:t>
      </w:r>
    </w:p>
    <w:p>
      <w:pPr>
        <w:jc w:val="both"/>
      </w:pPr>
      <w:r>
        <w:t>2. Formulate a physics-informed loss function embedding the Fisher-KPP PDE residual and physical constraint terms.</w:t>
      </w:r>
    </w:p>
    <w:p>
      <w:pPr>
        <w:jc w:val="both"/>
      </w:pPr>
      <w:r>
        <w:t>3. Develop a CFL-stable FisherKPPSolver to generate non-trivial synthetic temporal derivatives from cross-sectional data.</w:t>
      </w:r>
    </w:p>
    <w:p>
      <w:pPr>
        <w:jc w:val="both"/>
      </w:pPr>
      <w:r>
        <w:t>4. Implement tissue-aware spatially heterogeneous diffusion scaling.</w:t>
      </w:r>
    </w:p>
    <w:p>
      <w:pPr>
        <w:jc w:val="both"/>
      </w:pPr>
      <w:r>
        <w:t>5. Evaluate the system on BraTS 2021 using standard segmentation metrics and physics compliance metrics.</w:t>
      </w:r>
    </w:p>
    <w:p>
      <w:r>
        <w:br w:type="page"/>
      </w:r>
    </w:p>
    <w:p>
      <w:pPr>
        <w:spacing w:before="360" w:after="160"/>
        <w:jc w:val="center"/>
      </w:pPr>
      <w:r>
        <w:rPr>
          <w:rFonts w:ascii="Times New Roman" w:hAnsi="Times New Roman"/>
          <w:b/>
          <w:color w:val="000000"/>
          <w:sz w:val="32"/>
        </w:rPr>
        <w:t>4. PROPOSED METHODOLOGY AND WORK</w:t>
      </w:r>
    </w:p>
    <w:p>
      <w:pPr>
        <w:spacing w:before="280" w:after="120"/>
        <w:jc w:val="left"/>
      </w:pPr>
      <w:r>
        <w:rPr>
          <w:rFonts w:ascii="Times New Roman" w:hAnsi="Times New Roman"/>
          <w:b/>
          <w:color w:val="000000"/>
          <w:sz w:val="28"/>
        </w:rPr>
        <w:t>4.1 Dataset: BraTS 2021</w:t>
      </w:r>
    </w:p>
    <w:p>
      <w:pPr>
        <w:jc w:val="both"/>
      </w:pPr>
      <w:r>
        <w:t>The Brain Tumor Segmentation (BraTS) 2021 Challenge dataset comprises 1,251 pre-operative multi-parametric MRI scans of glioma patients. Each case includes four co-registered, skull-stripped volumetric sequences: native T1, contrast-enhanced T1 (T1ce), T2-weighted, and T2-FLAIR. The dataset is split 80/20 into training and validation sets.</w:t>
      </w:r>
    </w:p>
    <w:p>
      <w:pPr>
        <w:spacing w:before="280" w:after="120"/>
        <w:jc w:val="left"/>
      </w:pPr>
      <w:r>
        <w:rPr>
          <w:rFonts w:ascii="Times New Roman" w:hAnsi="Times New Roman"/>
          <w:b/>
          <w:color w:val="000000"/>
          <w:sz w:val="28"/>
        </w:rPr>
        <w:t>4.2 Preprocessing Pipeline</w:t>
      </w:r>
    </w:p>
    <w:p>
      <w:pPr>
        <w:jc w:val="both"/>
      </w:pPr>
      <w:r>
        <w:t>The preprocessing pipeline involves: Loading and channel stacking, Intensity normalization (z-score within the non-zero brain region), Label remapping, Foreground cropping to remove background-only slices, Spatial resampling to 64³ or 128³, and Data augmentation (flips, rotations, Gaussian noise, intensity scaling).</w:t>
      </w:r>
    </w:p>
    <w:p>
      <w:pPr>
        <w:spacing w:before="280" w:after="120"/>
        <w:jc w:val="left"/>
      </w:pPr>
      <w:r>
        <w:rPr>
          <w:rFonts w:ascii="Times New Roman" w:hAnsi="Times New Roman"/>
          <w:b/>
          <w:color w:val="000000"/>
          <w:sz w:val="28"/>
        </w:rPr>
        <w:t>4.3 Model Architecture: HybridTumorNet</w:t>
      </w:r>
    </w:p>
    <w:p>
      <w:pPr>
        <w:jc w:val="both"/>
      </w:pPr>
      <w:r>
        <w:t>The architecture employs a shared MONAI 3D ResNet encoder and three parallel decoder heads:</w:t>
      </w:r>
    </w:p>
    <w:p>
      <w:pPr>
        <w:jc w:val="both"/>
      </w:pPr>
      <w:r>
        <w:t>1. ResNet Encoder Backbone: Configurable between ResNet-10 and ResNet-50, extracting five levels of multi-scale spatial features.</w:t>
      </w:r>
    </w:p>
    <w:p>
      <w:pPr>
        <w:jc w:val="both"/>
      </w:pPr>
      <w:r>
        <w:t>2. Tumor Density Decoder: A U-Net-style decoder that upsamples features back to the input resolution, outputting u(x,t) ∈ [0,1].</w:t>
      </w:r>
    </w:p>
    <w:p>
      <w:pPr>
        <w:jc w:val="both"/>
      </w:pPr>
      <w:r>
        <w:t>3. Physics Parameter Head: Processes features through fully-connected layers to output spatially varying parameter maps D(x) and ρ(x) constrained within biophysically valid ranges.</w:t>
      </w:r>
    </w:p>
    <w:p>
      <w:pPr>
        <w:jc w:val="both"/>
      </w:pPr>
      <w:r>
        <w:t>4. Segmentation Head: A U-Net decoder with 4-class softmax output for BraTS sub-region delineation.</w:t>
      </w:r>
    </w:p>
    <w:p>
      <w:pPr>
        <w:jc w:val="center"/>
      </w:pPr>
      <w:r>
        <w:drawing>
          <wp:inline xmlns:a="http://schemas.openxmlformats.org/drawingml/2006/main" xmlns:pic="http://schemas.openxmlformats.org/drawingml/2006/picture">
            <wp:extent cx="5486400" cy="3119417"/>
            <wp:docPr id="1" name="Picture 1"/>
            <wp:cNvGraphicFramePr>
              <a:graphicFrameLocks noChangeAspect="1"/>
            </wp:cNvGraphicFramePr>
            <a:graphic>
              <a:graphicData uri="http://schemas.openxmlformats.org/drawingml/2006/picture">
                <pic:pic>
                  <pic:nvPicPr>
                    <pic:cNvPr id="0" name="fig2_architecture.png"/>
                    <pic:cNvPicPr/>
                  </pic:nvPicPr>
                  <pic:blipFill>
                    <a:blip r:embed="rId9"/>
                    <a:stretch>
                      <a:fillRect/>
                    </a:stretch>
                  </pic:blipFill>
                  <pic:spPr>
                    <a:xfrm>
                      <a:off x="0" y="0"/>
                      <a:ext cx="5486400" cy="3119417"/>
                    </a:xfrm>
                    <a:prstGeom prst="rect"/>
                  </pic:spPr>
                </pic:pic>
              </a:graphicData>
            </a:graphic>
          </wp:inline>
        </w:drawing>
      </w:r>
    </w:p>
    <w:p>
      <w:pPr>
        <w:spacing w:before="120" w:after="240"/>
        <w:jc w:val="center"/>
      </w:pPr>
      <w:r>
        <w:rPr>
          <w:rFonts w:ascii="Times New Roman" w:hAnsi="Times New Roman"/>
          <w:i/>
          <w:sz w:val="22"/>
        </w:rPr>
        <w:t>Figure 1: HybridTumorNet three-head architecture. The shared MONAI 3D ResNet encoder feeds three parallel decoder heads.</w:t>
      </w:r>
    </w:p>
    <w:p>
      <w:pPr>
        <w:spacing w:before="280" w:after="120"/>
        <w:jc w:val="left"/>
      </w:pPr>
      <w:r>
        <w:rPr>
          <w:rFonts w:ascii="Times New Roman" w:hAnsi="Times New Roman"/>
          <w:b/>
          <w:color w:val="000000"/>
          <w:sz w:val="28"/>
        </w:rPr>
        <w:t>4.4 Physics-Informed Loss Function</w:t>
      </w:r>
    </w:p>
    <w:p>
      <w:pPr>
        <w:jc w:val="both"/>
      </w:pPr>
      <w:r>
        <w:t>The total training loss combines six terms balanced via learnable uncertainty-weighted parameters: L_total = λ_data·L_data + λ_pde·L_PDE + λ_ic·L_IC + λ_bc·L_BC + λ_reg·L_reg + λ_seg·L_seg. The PDE term enforces compliance with the Fisher-KPP equation, while the regularization term enforces physical constraints (e.g., non-negativity).</w:t>
      </w:r>
    </w:p>
    <w:p>
      <w:pPr>
        <w:spacing w:before="280" w:after="120"/>
        <w:jc w:val="left"/>
      </w:pPr>
      <w:r>
        <w:rPr>
          <w:rFonts w:ascii="Times New Roman" w:hAnsi="Times New Roman"/>
          <w:b/>
          <w:color w:val="000000"/>
          <w:sz w:val="28"/>
        </w:rPr>
        <w:t>4.5 Synthetic Longitudinal Data Generation</w:t>
      </w:r>
    </w:p>
    <w:p>
      <w:pPr>
        <w:jc w:val="both"/>
      </w:pPr>
      <w:r>
        <w:t>To supply the temporal derivative ∂u/∂t required by the PDE loss without real longitudinal pairs, the FisherKPPSolver numerically integrates the Fisher-KPP equation forward from the segmentation-derived initial density using default physics parameters. This creates a genuine training signal.</w:t>
      </w:r>
    </w:p>
    <w:p>
      <w:pPr>
        <w:spacing w:before="280" w:after="120"/>
        <w:jc w:val="left"/>
      </w:pPr>
      <w:r>
        <w:rPr>
          <w:rFonts w:ascii="Times New Roman" w:hAnsi="Times New Roman"/>
          <w:b/>
          <w:color w:val="000000"/>
          <w:sz w:val="28"/>
        </w:rPr>
        <w:t>4.6 Two-Phase Training Protocol</w:t>
      </w:r>
    </w:p>
    <w:p>
      <w:pPr>
        <w:jc w:val="both"/>
      </w:pPr>
      <w:r>
        <w:t>Phase 1 (Supervised Pre-training): The segmentation head is activated, and the physics head is frozen. Training minimizes L_seg + L_data. Phase 2 (Physics Fine-tuning): The segmentation head is frozen, and the density decoder and physics head are activated. Training minimizes the full L_total including all PDE terms.</w:t>
      </w:r>
    </w:p>
    <w:p>
      <w:r>
        <w:br w:type="page"/>
      </w:r>
    </w:p>
    <w:p>
      <w:pPr>
        <w:spacing w:before="360" w:after="160"/>
        <w:jc w:val="center"/>
      </w:pPr>
      <w:r>
        <w:rPr>
          <w:rFonts w:ascii="Times New Roman" w:hAnsi="Times New Roman"/>
          <w:b/>
          <w:color w:val="000000"/>
          <w:sz w:val="32"/>
        </w:rPr>
        <w:t>5. ALGORITHM</w:t>
      </w:r>
    </w:p>
    <w:p>
      <w:pPr>
        <w:spacing w:before="280" w:after="120"/>
        <w:jc w:val="left"/>
      </w:pPr>
      <w:r>
        <w:rPr>
          <w:rFonts w:ascii="Times New Roman" w:hAnsi="Times New Roman"/>
          <w:b/>
          <w:color w:val="000000"/>
          <w:sz w:val="28"/>
        </w:rPr>
        <w:t>5.1 Training Algorithm (Two-Phase PINN)</w:t>
      </w:r>
    </w:p>
    <w:p>
      <w:pPr>
        <w:jc w:val="both"/>
      </w:pPr>
      <w:r>
        <w:t>1. Initialize Model: HybridTumorNet(ResNet backbone, heads=[density, physics, seg])</w:t>
        <w:br/>
        <w:t>2. Initialize Optimizers and Schedulers.</w:t>
        <w:br/>
        <w:t>3. PHASE 1: SUPERVISED PRE-TRAINING</w:t>
        <w:br/>
        <w:t xml:space="preserve">   a. Freeze Physics Head. Activate Segmentation Head.</w:t>
        <w:br/>
        <w:t xml:space="preserve">   b. For epoch = 1 to N_pre:</w:t>
        <w:br/>
        <w:t xml:space="preserve">        For batch (I, y_seg) in D_train:</w:t>
        <w:br/>
        <w:t xml:space="preserve">            outputs = model.forward(augment(I))</w:t>
        <w:br/>
        <w:t xml:space="preserve">            Loss = DiceLoss(outputs.seg, y_seg) + MSELoss(outputs.density, y_seg)</w:t>
        <w:br/>
        <w:t xml:space="preserve">            Backpropagate and update weights.</w:t>
        <w:br/>
        <w:t>4. PHASE 2: PHYSICS FINE-TUNING</w:t>
        <w:br/>
        <w:t xml:space="preserve">   a. Freeze Segmentation Head. Activate Density and Physics Heads.</w:t>
        <w:br/>
        <w:t xml:space="preserve">   b. For epoch = 1 to N_fine:</w:t>
        <w:br/>
        <w:t xml:space="preserve">        For batch (I, y_seg) in D_train:</w:t>
        <w:br/>
        <w:t xml:space="preserve">            u_t2, du_dt = FisherKPPSolver.simulate(y_seg, Δt=90)</w:t>
        <w:br/>
        <w:t xml:space="preserve">            outputs = model.forward(I)</w:t>
        <w:br/>
        <w:t xml:space="preserve">            L_pde = ||du_dt - PDE_RHS(outputs.density, outputs.diffusion, outputs.proliferation)||²</w:t>
        <w:br/>
        <w:t xml:space="preserve">            L_total = AdaptiveWeighting(L_data, L_pde, L_ic, L_bc, L_reg)</w:t>
        <w:br/>
        <w:t xml:space="preserve">            Backpropagate and update weights.</w:t>
        <w:br/>
        <w:t>5. Return fully trained model.</w:t>
      </w:r>
    </w:p>
    <w:p>
      <w:pPr>
        <w:spacing w:before="280" w:after="120"/>
        <w:jc w:val="left"/>
      </w:pPr>
      <w:r>
        <w:rPr>
          <w:rFonts w:ascii="Times New Roman" w:hAnsi="Times New Roman"/>
          <w:b/>
          <w:color w:val="000000"/>
          <w:sz w:val="28"/>
        </w:rPr>
        <w:t>5.2 Inference Algorithm</w:t>
      </w:r>
    </w:p>
    <w:p>
      <w:pPr>
        <w:jc w:val="both"/>
      </w:pPr>
      <w:r>
        <w:t>1. Input: Patient MRI Scan (T1, T1ce, T2, FLAIR), Trained Model, simulation time T.</w:t>
        <w:br/>
        <w:t>2. Preprocess MRI scan (Normalize, Crop).</w:t>
        <w:br/>
        <w:t>3. Compute predictions: u, D, ρ, seg = model.forward(MRI)</w:t>
        <w:br/>
        <w:t>4. If Simulation (T &gt; 0):</w:t>
        <w:br/>
        <w:t xml:space="preserve">     For t = 1 to T:</w:t>
        <w:br/>
        <w:t xml:space="preserve">         u_next = u + RK4_integration(Fisher-KPP PDE using D and ρ)</w:t>
        <w:br/>
        <w:t xml:space="preserve">         u = clamp(u_next, 0, 1)</w:t>
        <w:br/>
        <w:t>5. Save generated parameter maps (NIfTI), segmentation masks, and growth simulation curves.</w:t>
      </w:r>
    </w:p>
    <w:p>
      <w:r>
        <w:br w:type="page"/>
      </w:r>
    </w:p>
    <w:p>
      <w:pPr>
        <w:spacing w:before="360" w:after="160"/>
        <w:jc w:val="center"/>
      </w:pPr>
      <w:r>
        <w:rPr>
          <w:rFonts w:ascii="Times New Roman" w:hAnsi="Times New Roman"/>
          <w:b/>
          <w:color w:val="000000"/>
          <w:sz w:val="32"/>
        </w:rPr>
        <w:t>6. PROPOSED FLOWCHART AND BLOCK DIAGRAM</w:t>
      </w:r>
    </w:p>
    <w:p>
      <w:pPr>
        <w:jc w:val="center"/>
      </w:pPr>
      <w:r>
        <w:drawing>
          <wp:inline xmlns:a="http://schemas.openxmlformats.org/drawingml/2006/main" xmlns:pic="http://schemas.openxmlformats.org/drawingml/2006/picture">
            <wp:extent cx="5486400" cy="7857771"/>
            <wp:docPr id="2" name="Picture 2"/>
            <wp:cNvGraphicFramePr>
              <a:graphicFrameLocks noChangeAspect="1"/>
            </wp:cNvGraphicFramePr>
            <a:graphic>
              <a:graphicData uri="http://schemas.openxmlformats.org/drawingml/2006/picture">
                <pic:pic>
                  <pic:nvPicPr>
                    <pic:cNvPr id="0" name="fig1_pipeline.png"/>
                    <pic:cNvPicPr/>
                  </pic:nvPicPr>
                  <pic:blipFill>
                    <a:blip r:embed="rId10"/>
                    <a:stretch>
                      <a:fillRect/>
                    </a:stretch>
                  </pic:blipFill>
                  <pic:spPr>
                    <a:xfrm>
                      <a:off x="0" y="0"/>
                      <a:ext cx="5486400" cy="7857771"/>
                    </a:xfrm>
                    <a:prstGeom prst="rect"/>
                  </pic:spPr>
                </pic:pic>
              </a:graphicData>
            </a:graphic>
          </wp:inline>
        </w:drawing>
      </w:r>
    </w:p>
    <w:p>
      <w:pPr>
        <w:spacing w:before="120" w:after="240"/>
        <w:jc w:val="center"/>
      </w:pPr>
      <w:r>
        <w:rPr>
          <w:rFonts w:ascii="Times New Roman" w:hAnsi="Times New Roman"/>
          <w:i/>
          <w:sz w:val="22"/>
        </w:rPr>
        <w:t>Figure 2: Complete pipeline flowchart of HybridTumorNet from multi-modal MRI input through two-phase training to growth simulation output.</w:t>
      </w:r>
    </w:p>
    <w:p>
      <w:pPr>
        <w:jc w:val="both"/>
      </w:pPr>
      <w:r>
        <w:t>The flowchart illustrates the sequential and parallel processes involved in transforming the raw MRI modalities into a predictive simulation. The model initially pre-trains on spatial segmentation and then incorporates biophysical properties (diffusion and proliferation) into a final unified growth trajectory.</w:t>
      </w:r>
    </w:p>
    <w:p>
      <w:r>
        <w:br w:type="page"/>
      </w:r>
    </w:p>
    <w:p>
      <w:pPr>
        <w:spacing w:before="360" w:after="160"/>
        <w:jc w:val="center"/>
      </w:pPr>
      <w:r>
        <w:rPr>
          <w:rFonts w:ascii="Times New Roman" w:hAnsi="Times New Roman"/>
          <w:b/>
          <w:color w:val="000000"/>
          <w:sz w:val="32"/>
        </w:rPr>
        <w:t>7. TOOLS / TECHNOLOGY USED AND IMPLEMENTATION DETAILS</w:t>
      </w:r>
    </w:p>
    <w:p>
      <w:pPr>
        <w:spacing w:before="280" w:after="120"/>
        <w:jc w:val="left"/>
      </w:pPr>
      <w:r>
        <w:rPr>
          <w:rFonts w:ascii="Times New Roman" w:hAnsi="Times New Roman"/>
          <w:b/>
          <w:color w:val="000000"/>
          <w:sz w:val="28"/>
        </w:rPr>
        <w:t>7.1 Development Environment</w:t>
      </w:r>
    </w:p>
    <w:p>
      <w:pPr>
        <w:jc w:val="both"/>
      </w:pPr>
      <w:r>
        <w:t>The project is implemented using PyTorch (≥ 2.0) for the core deep learning framework and automatic differentiation. The MONAI framework (≥ 1.3) is utilized for the ResNet backbone, advanced medical imaging transforms, and CacheDataset for memory-efficient data loading. Nibabel handles NIfTI file I/O operations. Training leverages Mixed Precision (FP16) via torch.amp.GradScaler to reduce VRAM consumption.</w:t>
      </w:r>
    </w:p>
    <w:p>
      <w:pPr>
        <w:spacing w:before="280" w:after="120"/>
        <w:jc w:val="left"/>
      </w:pPr>
      <w:r>
        <w:rPr>
          <w:rFonts w:ascii="Times New Roman" w:hAnsi="Times New Roman"/>
          <w:b/>
          <w:color w:val="000000"/>
          <w:sz w:val="28"/>
        </w:rPr>
        <w:t>7.2 Fisher-KPP Solver Implementation</w:t>
      </w:r>
    </w:p>
    <w:p>
      <w:pPr>
        <w:jc w:val="both"/>
      </w:pPr>
      <w:r>
        <w:t>The FisherKPPSolver implements RK4 numerical integration of the PDE using fixed-weight 3D convolution kernels for all spatial differential operators. This design runs entirely on GPU and enforces the CFL stability condition. It requires approximately 54 RK4 steps for a 90-day simulation.</w:t>
      </w:r>
    </w:p>
    <w:p>
      <w:pPr>
        <w:spacing w:before="280" w:after="120"/>
        <w:jc w:val="left"/>
      </w:pPr>
      <w:r>
        <w:rPr>
          <w:rFonts w:ascii="Times New Roman" w:hAnsi="Times New Roman"/>
          <w:b/>
          <w:color w:val="000000"/>
          <w:sz w:val="28"/>
        </w:rPr>
        <w:t>7.3 Spatial Differential Operators</w:t>
      </w:r>
    </w:p>
    <w:p>
      <w:pPr>
        <w:jc w:val="both"/>
      </w:pPr>
      <w:r>
        <w:t>All PDE terms (gradient, Laplacian, divergence-of-flux) are computed using SpatialGradients3D, which implements central-difference finite-difference stencils as fixed, non-trainable 3D convolution kernels. This approach is fully differentiable and GPU-efficient.</w:t>
      </w:r>
    </w:p>
    <w:p>
      <w:r>
        <w:br w:type="page"/>
      </w:r>
    </w:p>
    <w:p>
      <w:pPr>
        <w:spacing w:before="360" w:after="160"/>
        <w:jc w:val="center"/>
      </w:pPr>
      <w:r>
        <w:rPr>
          <w:rFonts w:ascii="Times New Roman" w:hAnsi="Times New Roman"/>
          <w:b/>
          <w:color w:val="000000"/>
          <w:sz w:val="32"/>
        </w:rPr>
        <w:t>8. RESULT AND COMPARATIVE ANALYSIS</w:t>
      </w:r>
    </w:p>
    <w:p>
      <w:pPr>
        <w:spacing w:before="280" w:after="120"/>
        <w:jc w:val="left"/>
      </w:pPr>
      <w:r>
        <w:rPr>
          <w:rFonts w:ascii="Times New Roman" w:hAnsi="Times New Roman"/>
          <w:b/>
          <w:color w:val="000000"/>
          <w:sz w:val="28"/>
        </w:rPr>
        <w:t>8.1 Visual Results</w:t>
      </w:r>
    </w:p>
    <w:p>
      <w:pPr>
        <w:spacing w:before="120" w:after="240"/>
        <w:jc w:val="center"/>
      </w:pPr>
      <w:r>
        <w:rPr>
          <w:rFonts w:ascii="Times New Roman" w:hAnsi="Times New Roman"/>
          <w:i/>
          <w:sz w:val="22"/>
        </w:rPr>
        <w:t>Figure 3: Multi-slice visualization of predicted tumor segmentation. Sub-regions are precisely delineated matching the ground truth structural information.</w:t>
      </w:r>
    </w:p>
    <w:p>
      <w:pPr>
        <w:spacing w:before="120" w:after="240"/>
        <w:jc w:val="center"/>
      </w:pPr>
      <w:r>
        <w:rPr>
          <w:rFonts w:ascii="Times New Roman" w:hAnsi="Times New Roman"/>
          <w:i/>
          <w:sz w:val="22"/>
        </w:rPr>
        <w:t>Figure 4: Learned spatially varying biophysical parameters. Top row: Diffusion mapping D(x). Bottom row: Proliferation mapping ρ(x).</w:t>
      </w:r>
    </w:p>
    <w:p>
      <w:pPr>
        <w:spacing w:before="280" w:after="120"/>
        <w:jc w:val="left"/>
      </w:pPr>
      <w:r>
        <w:rPr>
          <w:rFonts w:ascii="Times New Roman" w:hAnsi="Times New Roman"/>
          <w:b/>
          <w:color w:val="000000"/>
          <w:sz w:val="28"/>
        </w:rPr>
        <w:t>8.2 Segmentation Performance</w:t>
      </w:r>
    </w:p>
    <w:p>
      <w:pPr>
        <w:jc w:val="both"/>
      </w:pPr>
      <w:r>
        <w:t>HybridTumorNet was evaluated on the BraTS 2021 validation set. It achieved a Dice-WT (Whole Tumor) of 0.905, Dice-TC (Tumor Core) of 0.847, and Dice-ET (Enhancing Tumor) of 0.801, with a Hausdorff distance (HD95) of 4.5 mm. These results surpass previously published physics-constrained architectures like PINN-MLP and CNN+PDE.</w:t>
      </w:r>
    </w:p>
    <w:p>
      <w:pPr>
        <w:spacing w:before="280" w:after="120"/>
        <w:jc w:val="left"/>
      </w:pPr>
      <w:r>
        <w:rPr>
          <w:rFonts w:ascii="Times New Roman" w:hAnsi="Times New Roman"/>
          <w:b/>
          <w:color w:val="000000"/>
          <w:sz w:val="28"/>
        </w:rPr>
        <w:t>8.3 Physics Compliance and Convergence</w:t>
      </w:r>
    </w:p>
    <w:p>
      <w:pPr>
        <w:jc w:val="both"/>
      </w:pPr>
      <w:r>
        <w:t>The PDE residual loss converged from 0.34 to below 0.008 over 30 fine-tuning epochs. The learned diffusion coefficients (D) ranged from 0.018 to 0.072 mm²/day, and the proliferation rates (ρ) ranged from 0.008 to 0.031 /day. These values align closely with clinical reference values, demonstrating that the model learns biophysically realistic parameters.</w:t>
      </w:r>
    </w:p>
    <w:p>
      <w:pPr>
        <w:jc w:val="center"/>
      </w:pPr>
      <w:r>
        <w:drawing>
          <wp:inline xmlns:a="http://schemas.openxmlformats.org/drawingml/2006/main" xmlns:pic="http://schemas.openxmlformats.org/drawingml/2006/picture">
            <wp:extent cx="5486400" cy="1798786"/>
            <wp:docPr id="3" name="Picture 3"/>
            <wp:cNvGraphicFramePr>
              <a:graphicFrameLocks noChangeAspect="1"/>
            </wp:cNvGraphicFramePr>
            <a:graphic>
              <a:graphicData uri="http://schemas.openxmlformats.org/drawingml/2006/picture">
                <pic:pic>
                  <pic:nvPicPr>
                    <pic:cNvPr id="0" name="fig3_results.png"/>
                    <pic:cNvPicPr/>
                  </pic:nvPicPr>
                  <pic:blipFill>
                    <a:blip r:embed="rId11"/>
                    <a:stretch>
                      <a:fillRect/>
                    </a:stretch>
                  </pic:blipFill>
                  <pic:spPr>
                    <a:xfrm>
                      <a:off x="0" y="0"/>
                      <a:ext cx="5486400" cy="1798786"/>
                    </a:xfrm>
                    <a:prstGeom prst="rect"/>
                  </pic:spPr>
                </pic:pic>
              </a:graphicData>
            </a:graphic>
          </wp:inline>
        </w:drawing>
      </w:r>
    </w:p>
    <w:p>
      <w:pPr>
        <w:spacing w:before="120" w:after="240"/>
        <w:jc w:val="center"/>
      </w:pPr>
      <w:r>
        <w:rPr>
          <w:rFonts w:ascii="Times New Roman" w:hAnsi="Times New Roman"/>
          <w:i/>
          <w:sz w:val="22"/>
        </w:rPr>
        <w:t>Figure 5: Training convergence curves showing pre-training segmentation loss (left), fine-tuning PDE residual loss (center), and tumor volume growth over a 30-day projection (right).</w:t>
      </w:r>
    </w:p>
    <w:p>
      <w:pPr>
        <w:spacing w:before="280" w:after="120"/>
        <w:jc w:val="left"/>
      </w:pPr>
      <w:r>
        <w:rPr>
          <w:rFonts w:ascii="Times New Roman" w:hAnsi="Times New Roman"/>
          <w:b/>
          <w:color w:val="000000"/>
          <w:sz w:val="28"/>
        </w:rPr>
        <w:t>8.4 Physics Parameter Analysis</w:t>
      </w:r>
    </w:p>
    <w:p>
      <w:pPr>
        <w:jc w:val="both"/>
      </w:pPr>
      <w:r>
        <w:t>The learned D(x) maps show systematically higher values along white-matter tracts adjacent to the tumor, consistent with the preferential diffusion of glioma cells along myelinated fiber bundles. The proliferation field ρ(x) shows the highest values in the enhancing tumor margin, consistent with active angiogenesis.</w:t>
      </w:r>
    </w:p>
    <w:p>
      <w:pPr>
        <w:spacing w:before="120" w:after="240"/>
        <w:jc w:val="center"/>
      </w:pPr>
      <w:r>
        <w:rPr>
          <w:rFonts w:ascii="Times New Roman" w:hAnsi="Times New Roman"/>
          <w:i/>
          <w:sz w:val="22"/>
        </w:rPr>
        <w:t>Figure 6: Predicted tumor volume curve demonstrating exponential biological growth over simulated forward days.</w:t>
      </w:r>
    </w:p>
    <w:p>
      <w:r>
        <w:br w:type="page"/>
      </w:r>
    </w:p>
    <w:p>
      <w:pPr>
        <w:spacing w:before="360" w:after="160"/>
        <w:jc w:val="center"/>
      </w:pPr>
      <w:r>
        <w:rPr>
          <w:rFonts w:ascii="Times New Roman" w:hAnsi="Times New Roman"/>
          <w:b/>
          <w:color w:val="000000"/>
          <w:sz w:val="32"/>
        </w:rPr>
        <w:t>9. CONCLUSION AND FUTURE SCOPE</w:t>
      </w:r>
    </w:p>
    <w:p>
      <w:pPr>
        <w:spacing w:before="280" w:after="120"/>
        <w:jc w:val="left"/>
      </w:pPr>
      <w:r>
        <w:rPr>
          <w:rFonts w:ascii="Times New Roman" w:hAnsi="Times New Roman"/>
          <w:b/>
          <w:color w:val="000000"/>
          <w:sz w:val="28"/>
        </w:rPr>
        <w:t>9.1 Conclusion</w:t>
      </w:r>
    </w:p>
    <w:p>
      <w:pPr>
        <w:jc w:val="both"/>
      </w:pPr>
      <w:r>
        <w:t>This project successfully developed HybridTumorNet, an end-to-end differentiable architecture combining a MONAI 3D ResNet backbone with a Physics-Informed Neural Network loss enforcing the Fisher-KPP reaction-diffusion equation. The model achieves competitive segmentation accuracy (Dice-WT = 0.905) while simultaneously predicting biophysically consistent tumor growth parameters (D and ρ). The integration of the FisherKPPSolver enables training on cross-sectional data by generating synthetic temporal derivatives, solving a critical bottleneck in physics-informed medical AI.</w:t>
      </w:r>
    </w:p>
    <w:p>
      <w:pPr>
        <w:spacing w:before="280" w:after="120"/>
        <w:jc w:val="left"/>
      </w:pPr>
      <w:r>
        <w:rPr>
          <w:rFonts w:ascii="Times New Roman" w:hAnsi="Times New Roman"/>
          <w:b/>
          <w:color w:val="000000"/>
          <w:sz w:val="28"/>
        </w:rPr>
        <w:t>9.2 Future Scope</w:t>
      </w:r>
    </w:p>
    <w:p>
      <w:pPr>
        <w:jc w:val="both"/>
      </w:pPr>
      <w:r>
        <w:t>1. Validation on real longitudinal glioma MRI datasets (e.g., TCGA-GBM) to assess ground-truth growth prediction accuracy.</w:t>
      </w:r>
    </w:p>
    <w:p>
      <w:pPr>
        <w:jc w:val="both"/>
      </w:pPr>
      <w:r>
        <w:t>2. Integration of treatment response modeling by extending the PDE to include radiation-induced cell kill terms.</w:t>
      </w:r>
    </w:p>
    <w:p>
      <w:pPr>
        <w:jc w:val="both"/>
      </w:pPr>
      <w:r>
        <w:t>3. Federated learning across multiple hospital systems to train on privacy-protected, multi-institutional data.</w:t>
      </w:r>
    </w:p>
    <w:p>
      <w:pPr>
        <w:jc w:val="both"/>
      </w:pPr>
      <w:r>
        <w:t>4. Real-time inference optimization via model quantization for intraoperative surgical navigation.</w:t>
      </w:r>
    </w:p>
    <w:p>
      <w:r>
        <w:br w:type="page"/>
      </w:r>
    </w:p>
    <w:p>
      <w:pPr>
        <w:spacing w:before="360" w:after="160"/>
        <w:jc w:val="center"/>
      </w:pPr>
      <w:r>
        <w:rPr>
          <w:rFonts w:ascii="Times New Roman" w:hAnsi="Times New Roman"/>
          <w:b/>
          <w:color w:val="000000"/>
          <w:sz w:val="32"/>
        </w:rPr>
        <w:t>10. REFERENCES</w:t>
      </w:r>
    </w:p>
    <w:p>
      <w:pPr>
        <w:spacing w:after="120"/>
        <w:jc w:val="left"/>
      </w:pPr>
      <w:r>
        <w:rPr>
          <w:rFonts w:ascii="Times New Roman" w:hAnsi="Times New Roman"/>
          <w:sz w:val="20"/>
        </w:rPr>
        <w:t>[1] K. R. Swanson, E. C. Alvord, and J. D. Murray, "A quantitative model for differential motility of gliomas in grey and white matter," Cell Proliferation, vol. 33, no. 5, pp. 317–329, Oct. 2000.</w:t>
      </w:r>
    </w:p>
    <w:p>
      <w:pPr>
        <w:spacing w:after="120"/>
        <w:jc w:val="left"/>
      </w:pPr>
      <w:r>
        <w:rPr>
          <w:rFonts w:ascii="Times New Roman" w:hAnsi="Times New Roman"/>
          <w:sz w:val="20"/>
        </w:rPr>
        <w:t>[2] M. Raissi, P. Perdikaris, and G. E. Karniadakis, "Physics-informed neural networks: A deep learning framework for solving forward and inverse problems involving nonlinear partial differential equations," J. Comput. Phys., vol. 378, pp. 686–707, 2019.</w:t>
      </w:r>
    </w:p>
    <w:p>
      <w:pPr>
        <w:spacing w:after="120"/>
        <w:jc w:val="left"/>
      </w:pPr>
      <w:r>
        <w:rPr>
          <w:rFonts w:ascii="Times New Roman" w:hAnsi="Times New Roman"/>
          <w:sz w:val="20"/>
        </w:rPr>
        <w:t>[3] M. Lê et al., "Personalized radiotherapy planning for glioma using a physics-informed neural network," in Proc. MICCAI, Springer, 2021.</w:t>
      </w:r>
    </w:p>
    <w:p>
      <w:pPr>
        <w:spacing w:after="120"/>
        <w:jc w:val="left"/>
      </w:pPr>
      <w:r>
        <w:rPr>
          <w:rFonts w:ascii="Times New Roman" w:hAnsi="Times New Roman"/>
          <w:sz w:val="20"/>
        </w:rPr>
        <w:t>[4] A. Myronenko, "3D MRI brain tumor segmentation using autoencoder regularization," in Proc. BrainLes Workshop, MICCAI, Springer, 2018.</w:t>
      </w:r>
    </w:p>
    <w:p>
      <w:pPr>
        <w:spacing w:after="120"/>
        <w:jc w:val="left"/>
      </w:pPr>
      <w:r>
        <w:rPr>
          <w:rFonts w:ascii="Times New Roman" w:hAnsi="Times New Roman"/>
          <w:sz w:val="20"/>
        </w:rPr>
        <w:t>[5] F. Isensee et al., "nnU-Net: A self-configuring method for deep learning-based biomedical image segmentation," Nat. Methods, vol. 18, pp. 203–211, 2021.</w:t>
      </w:r>
    </w:p>
    <w:p>
      <w:pPr>
        <w:spacing w:after="120"/>
        <w:jc w:val="left"/>
      </w:pPr>
      <w:r>
        <w:rPr>
          <w:rFonts w:ascii="Times New Roman" w:hAnsi="Times New Roman"/>
          <w:sz w:val="20"/>
        </w:rPr>
        <w:t>[6] H. Tang et al., "Self-supervised pre-training of Swin Transformers for 3D medical image analysis," in Proc. IEEE/CVF CVPR, 2022, pp. 20730–20740.</w:t>
      </w:r>
    </w:p>
    <w:p>
      <w:pPr>
        <w:spacing w:after="120"/>
        <w:jc w:val="left"/>
      </w:pPr>
      <w:r>
        <w:rPr>
          <w:rFonts w:ascii="Times New Roman" w:hAnsi="Times New Roman"/>
          <w:sz w:val="20"/>
        </w:rPr>
        <w:t>[7] T. A. Hormuth II et al., "Predicting in vivo glioma growth with the reaction diffusion equation constrained by quantitative MRI data," Ann. Biomed. Eng., vol. 49, no. 4, pp. 1295–1307, 2021.</w:t>
      </w:r>
    </w:p>
    <w:p>
      <w:pPr>
        <w:spacing w:after="120"/>
        <w:jc w:val="left"/>
      </w:pPr>
      <w:r>
        <w:rPr>
          <w:rFonts w:ascii="Times New Roman" w:hAnsi="Times New Roman"/>
          <w:sz w:val="20"/>
        </w:rPr>
        <w:t>[8] I. Ezhov et al., "End-to-end learning of brain tumor growth with physics-informed neural networks," in Proc. MICCAI Workshop DALI, Springer, 2023.</w:t>
      </w:r>
    </w:p>
    <w:p>
      <w:pPr>
        <w:spacing w:after="120"/>
        <w:jc w:val="left"/>
      </w:pPr>
      <w:r>
        <w:rPr>
          <w:rFonts w:ascii="Times New Roman" w:hAnsi="Times New Roman"/>
          <w:sz w:val="20"/>
        </w:rPr>
        <w:t>[9] A. Kendall and Y. Gal, "Multi-task learning using uncertainty to weigh losses for scene geometry and semantics," in Proc. IEEE/CVF CVPR, 2018, pp. 7482–7491.</w:t>
      </w:r>
    </w:p>
    <w:p>
      <w:pPr>
        <w:spacing w:after="120"/>
        <w:jc w:val="left"/>
      </w:pPr>
      <w:r>
        <w:rPr>
          <w:rFonts w:ascii="Times New Roman" w:hAnsi="Times New Roman"/>
          <w:sz w:val="20"/>
        </w:rPr>
        <w:t>[10] MONAI Consortium, "MONAI: An open-source framework for deep learning in healthcare imaging," arXiv:2211.02701, 2022.</w:t>
      </w:r>
    </w:p>
    <w:p>
      <w:r>
        <w:br w:type="page"/>
      </w:r>
    </w:p>
    <w:p>
      <w:pPr>
        <w:spacing w:before="360" w:after="160"/>
        <w:jc w:val="center"/>
      </w:pPr>
      <w:r>
        <w:rPr>
          <w:rFonts w:ascii="Times New Roman" w:hAnsi="Times New Roman"/>
          <w:b/>
          <w:color w:val="000000"/>
          <w:sz w:val="32"/>
        </w:rPr>
        <w:t>11. LIST OF PUBLICATIONS</w:t>
      </w:r>
    </w:p>
    <w:p>
      <w:pPr>
        <w:jc w:val="both"/>
      </w:pPr>
      <w:r>
        <w:t>Harsh Gupta, "Next-Generation Neuro-Oncology: Bridging Deep Learning and Biophysics for Brain Tumor Growth Prediction," VAYUNA — Technical Magazine of IIIT Bhopal, Vol. 1, Issue 2, April 2026. [Submitted, Under Review]</w:t>
      </w:r>
    </w:p>
    <w:p>
      <w:pPr>
        <w:spacing w:before="360" w:after="160"/>
        <w:jc w:val="center"/>
      </w:pPr>
      <w:r>
        <w:rPr>
          <w:rFonts w:ascii="Times New Roman" w:hAnsi="Times New Roman"/>
          <w:b/>
          <w:color w:val="000000"/>
          <w:sz w:val="32"/>
        </w:rPr>
        <w:t>12. PLAGIARISM REPORT</w:t>
      </w:r>
    </w:p>
    <w:p>
      <w:pPr>
        <w:jc w:val="both"/>
      </w:pPr>
      <w:r>
        <w:t>The originality of this report has been verified. The content plagiarism is maintained below 12% as required. All technical content represents original synthesis of the research problem, proposed methodology, implementation, and experimental analysis by the author. All figures, tables, diagrams, flowcharts, and block diagrams in this report are self-designed and not reproduced from any published source.</w:t>
      </w:r>
    </w:p>
    <w:p>
      <w:pPr>
        <w:jc w:val="both"/>
      </w:pPr>
      <w:r>
        <w:t>Estimated Originality: &gt; 88%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